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To: Augsburg Faculty</w:t>
      </w:r>
    </w:p>
    <w:p w:rsidR="00000000" w:rsidDel="00000000" w:rsidP="00000000" w:rsidRDefault="00000000" w:rsidRPr="00000000" w14:paraId="00000002">
      <w:pPr>
        <w:rPr/>
      </w:pPr>
      <w:r w:rsidDel="00000000" w:rsidR="00000000" w:rsidRPr="00000000">
        <w:rPr>
          <w:rtl w:val="0"/>
        </w:rPr>
        <w:t xml:space="preserve">From: Personnel Policies Committee: Ankita Deka, Bob Groven (co-chair), Matthew Haines (co-chair), Merilee Klemp, Marc McIntosh (Senate Rep)</w:t>
      </w:r>
    </w:p>
    <w:p w:rsidR="00000000" w:rsidDel="00000000" w:rsidP="00000000" w:rsidRDefault="00000000" w:rsidRPr="00000000" w14:paraId="00000003">
      <w:pPr>
        <w:rPr>
          <w:b w:val="1"/>
        </w:rPr>
      </w:pPr>
      <w:r w:rsidDel="00000000" w:rsidR="00000000" w:rsidRPr="00000000">
        <w:rPr>
          <w:rtl w:val="0"/>
        </w:rPr>
        <w:t xml:space="preserve">Re:</w:t>
      </w:r>
      <w:r w:rsidDel="00000000" w:rsidR="00000000" w:rsidRPr="00000000">
        <w:rPr>
          <w:b w:val="1"/>
          <w:rtl w:val="0"/>
        </w:rPr>
        <w:t xml:space="preserve"> </w:t>
      </w:r>
      <w:r w:rsidDel="00000000" w:rsidR="00000000" w:rsidRPr="00000000">
        <w:rPr>
          <w:rtl w:val="0"/>
        </w:rPr>
        <w:t xml:space="preserve">Proposed Revisions to Faculty Constitution and Handbook</w:t>
      </w:r>
      <w:r w:rsidDel="00000000" w:rsidR="00000000" w:rsidRPr="00000000">
        <w:rPr>
          <w:b w:val="1"/>
          <w:rtl w:val="0"/>
        </w:rPr>
        <w:t xml:space="preserve"> </w:t>
      </w:r>
    </w:p>
    <w:p w:rsidR="00000000" w:rsidDel="00000000" w:rsidP="00000000" w:rsidRDefault="00000000" w:rsidRPr="00000000" w14:paraId="00000004">
      <w:pPr>
        <w:rPr/>
      </w:pPr>
      <w:r w:rsidDel="00000000" w:rsidR="00000000" w:rsidRPr="00000000">
        <w:rPr>
          <w:rtl w:val="0"/>
        </w:rPr>
        <w:t xml:space="preserve">Date: 04.15.2019   - update 04.17.2019</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color w:val="ff0000"/>
          <w:rtl w:val="0"/>
        </w:rPr>
        <w:t xml:space="preserve">Links to Faculty Handbook Documents provided within each motion below.  </w:t>
      </w: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left="-270" w:firstLine="0"/>
        <w:rPr/>
      </w:pPr>
      <w:r w:rsidDel="00000000" w:rsidR="00000000" w:rsidRPr="00000000">
        <w:rPr>
          <w:rtl w:val="0"/>
        </w:rPr>
        <w:t xml:space="preserve">Items from PPC to Faculty:</w:t>
      </w:r>
    </w:p>
    <w:p w:rsidR="00000000" w:rsidDel="00000000" w:rsidP="00000000" w:rsidRDefault="00000000" w:rsidRPr="00000000" w14:paraId="00000009">
      <w:pPr>
        <w:ind w:hanging="27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PPC thanks all who have participated in the conversations this past month regarding proposed changes to the Faculty Handbook.  Some of the language has been adjusted based on the feedback and some has not.  Where there continued to be significant continued discussion, PPC left the language unchanged to be discussed at the Faculty meeting. </w:t>
      </w:r>
    </w:p>
    <w:p w:rsidR="00000000" w:rsidDel="00000000" w:rsidP="00000000" w:rsidRDefault="00000000" w:rsidRPr="00000000" w14:paraId="0000000A">
      <w:pPr>
        <w:ind w:hanging="270"/>
        <w:rPr/>
      </w:pPr>
      <w:r w:rsidDel="00000000" w:rsidR="00000000" w:rsidRPr="00000000">
        <w:rPr>
          <w:rtl w:val="0"/>
        </w:rPr>
        <w:t xml:space="preserve"> </w:t>
      </w:r>
    </w:p>
    <w:p w:rsidR="00000000" w:rsidDel="00000000" w:rsidP="00000000" w:rsidRDefault="00000000" w:rsidRPr="00000000" w14:paraId="0000000B">
      <w:pPr>
        <w:ind w:firstLine="0"/>
        <w:rPr/>
      </w:pPr>
      <w:r w:rsidDel="00000000" w:rsidR="00000000" w:rsidRPr="00000000">
        <w:rPr>
          <w:rtl w:val="0"/>
        </w:rPr>
        <w:t xml:space="preserve">The Faculty Handbook documents for the April 17 faculty meeting are mostly unchanged, with the exceptions listed below in item 3. </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ind w:hanging="27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History of the development of these changes:</w:t>
      </w:r>
    </w:p>
    <w:p w:rsidR="00000000" w:rsidDel="00000000" w:rsidP="00000000" w:rsidRDefault="00000000" w:rsidRPr="00000000" w14:paraId="0000000E">
      <w:pPr>
        <w:ind w:left="450" w:firstLine="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PPC recommended to Senate two years ago to make significant revisions to the Faculty Handbook starting with the foundational documents the Constitution and Bylaws (Sections 8 and 9).</w:t>
      </w:r>
    </w:p>
    <w:p w:rsidR="00000000" w:rsidDel="00000000" w:rsidP="00000000" w:rsidRDefault="00000000" w:rsidRPr="00000000" w14:paraId="0000000F">
      <w:pPr>
        <w:ind w:left="450" w:firstLine="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Spring 2018 two subcommittees were formed to focus on Sections 8 and 9 considering faculty governance and faculty identity.  These suggestions were brought to PPC. </w:t>
      </w:r>
    </w:p>
    <w:p w:rsidR="00000000" w:rsidDel="00000000" w:rsidP="00000000" w:rsidRDefault="00000000" w:rsidRPr="00000000" w14:paraId="00000010">
      <w:pPr>
        <w:ind w:left="450" w:firstLine="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There have been numerous discussions with Faculty Senate and the Faculty in discussion and preparation of the changes.</w:t>
      </w:r>
    </w:p>
    <w:p w:rsidR="00000000" w:rsidDel="00000000" w:rsidP="00000000" w:rsidRDefault="00000000" w:rsidRPr="00000000" w14:paraId="00000011">
      <w:pPr>
        <w:ind w:left="450" w:firstLine="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Changes to Sections 8, 9, 2.6, and 3.5, were presented as a first reading at the 2019 March Faculty meeting.</w:t>
      </w:r>
    </w:p>
    <w:p w:rsidR="00000000" w:rsidDel="00000000" w:rsidP="00000000" w:rsidRDefault="00000000" w:rsidRPr="00000000" w14:paraId="00000012">
      <w:pPr>
        <w:ind w:left="450" w:firstLine="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Subsequent open discussions, Google doc comments, and Moodle discussions were available to provide PPC with feedback.  The feedback was a basis for many of the changes listed in item 3. </w:t>
      </w:r>
    </w:p>
    <w:p w:rsidR="00000000" w:rsidDel="00000000" w:rsidP="00000000" w:rsidRDefault="00000000" w:rsidRPr="00000000" w14:paraId="00000013">
      <w:pPr>
        <w:ind w:left="450" w:firstLine="0"/>
        <w:rPr>
          <w:color w:val="ff0000"/>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Important note: </w:t>
      </w:r>
      <w:r w:rsidDel="00000000" w:rsidR="00000000" w:rsidRPr="00000000">
        <w:rPr>
          <w:color w:val="ff0000"/>
          <w:rtl w:val="0"/>
        </w:rPr>
        <w:t xml:space="preserve">Implementation of changes subject to a review by legal counsel and approval of the Board of Regents, Proposed changes to sections:</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ind w:right="-450" w:hanging="270"/>
        <w:rPr>
          <w:color w:val="ff0000"/>
        </w:rPr>
      </w:pPr>
      <w:r w:rsidDel="00000000" w:rsidR="00000000" w:rsidRPr="00000000">
        <w:rPr>
          <w:color w:val="ff0000"/>
          <w:rtl w:val="0"/>
        </w:rPr>
        <w:t xml:space="preserve">3.</w:t>
      </w:r>
      <w:r w:rsidDel="00000000" w:rsidR="00000000" w:rsidRPr="00000000">
        <w:rPr>
          <w:rFonts w:ascii="Times New Roman" w:cs="Times New Roman" w:eastAsia="Times New Roman" w:hAnsi="Times New Roman"/>
          <w:color w:val="ff0000"/>
          <w:sz w:val="14"/>
          <w:szCs w:val="14"/>
          <w:rtl w:val="0"/>
        </w:rPr>
        <w:t xml:space="preserve">     </w:t>
      </w:r>
      <w:r w:rsidDel="00000000" w:rsidR="00000000" w:rsidRPr="00000000">
        <w:rPr>
          <w:b w:val="1"/>
          <w:rtl w:val="0"/>
        </w:rPr>
        <w:t xml:space="preserve">Motions</w:t>
      </w:r>
      <w:r w:rsidDel="00000000" w:rsidR="00000000" w:rsidRPr="00000000">
        <w:rPr>
          <w:rtl w:val="0"/>
        </w:rPr>
        <w:t xml:space="preserve">: NOTE: </w:t>
      </w:r>
      <w:r w:rsidDel="00000000" w:rsidR="00000000" w:rsidRPr="00000000">
        <w:rPr>
          <w:color w:val="ff0000"/>
          <w:rtl w:val="0"/>
        </w:rPr>
        <w:t xml:space="preserve">Red text indicates updates since documents were distributed on Monday, April 15.</w:t>
      </w:r>
    </w:p>
    <w:p w:rsidR="00000000" w:rsidDel="00000000" w:rsidP="00000000" w:rsidRDefault="00000000" w:rsidRPr="00000000" w14:paraId="00000016">
      <w:pPr>
        <w:rPr>
          <w:color w:val="ff0000"/>
        </w:rPr>
      </w:pPr>
      <w:r w:rsidDel="00000000" w:rsidR="00000000" w:rsidRPr="00000000">
        <w:rPr>
          <w:color w:val="ff0000"/>
          <w:rtl w:val="0"/>
        </w:rPr>
        <w:t xml:space="preserve"> </w:t>
      </w:r>
    </w:p>
    <w:p w:rsidR="00000000" w:rsidDel="00000000" w:rsidP="00000000" w:rsidRDefault="00000000" w:rsidRPr="00000000" w14:paraId="00000017">
      <w:pPr>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ab/>
      </w:r>
      <w:r w:rsidDel="00000000" w:rsidR="00000000" w:rsidRPr="00000000">
        <w:rPr>
          <w:b w:val="1"/>
          <w:rtl w:val="0"/>
        </w:rPr>
        <w:t xml:space="preserve">Motion 1:</w:t>
      </w:r>
      <w:r w:rsidDel="00000000" w:rsidR="00000000" w:rsidRPr="00000000">
        <w:rPr>
          <w:rtl w:val="0"/>
        </w:rPr>
        <w:t xml:space="preserve"> To approve the PPC recommended changes to Section 8, The Constitution of the Faculty of Augsburg University.</w:t>
      </w:r>
    </w:p>
    <w:p w:rsidR="00000000" w:rsidDel="00000000" w:rsidP="00000000" w:rsidRDefault="00000000" w:rsidRPr="00000000" w14:paraId="00000018">
      <w:pPr>
        <w:rPr/>
      </w:pPr>
      <w:r w:rsidDel="00000000" w:rsidR="00000000" w:rsidRPr="00000000">
        <w:rPr>
          <w:rtl w:val="0"/>
        </w:rPr>
        <w:t xml:space="preserve">Google doc</w:t>
      </w:r>
      <w:hyperlink r:id="rId6">
        <w:r w:rsidDel="00000000" w:rsidR="00000000" w:rsidRPr="00000000">
          <w:rPr>
            <w:rtl w:val="0"/>
          </w:rPr>
          <w:t xml:space="preserve"> </w:t>
        </w:r>
      </w:hyperlink>
      <w:hyperlink r:id="rId7">
        <w:r w:rsidDel="00000000" w:rsidR="00000000" w:rsidRPr="00000000">
          <w:rPr>
            <w:color w:val="1155cc"/>
            <w:u w:val="single"/>
            <w:rtl w:val="0"/>
          </w:rPr>
          <w:t xml:space="preserve">link to section 8</w:t>
        </w:r>
      </w:hyperlink>
      <w:r w:rsidDel="00000000" w:rsidR="00000000" w:rsidRPr="00000000">
        <w:rPr>
          <w:color w:val="1155cc"/>
          <w:u w:val="single"/>
          <w:rtl w:val="0"/>
        </w:rPr>
        <w:t xml:space="preserve"> </w:t>
      </w:r>
      <w:r w:rsidDel="00000000" w:rsidR="00000000" w:rsidRPr="00000000">
        <w:rPr>
          <w:rtl w:val="0"/>
        </w:rPr>
        <w:t xml:space="preserve"> suggested changes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8.8.3, 8.8.4 Changed wording on Joint committees.  Note, and example of a Joint Standing Committee is UCAP.</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b w:val="1"/>
          <w:rtl w:val="0"/>
        </w:rPr>
        <w:t xml:space="preserve">Motion 2:</w:t>
      </w:r>
      <w:r w:rsidDel="00000000" w:rsidR="00000000" w:rsidRPr="00000000">
        <w:rPr>
          <w:rtl w:val="0"/>
        </w:rPr>
        <w:t xml:space="preserve"> To approve the PPC recommended changes to Section 9, The Bylaws to the Constitution of the Faculty of Augsburg University.  NOTE: If Section 9 passes with Section 9.2.6 Faculty Senate Subcommittee on Committees (SoC), then the Faculty authorizes the subsequent redactions necessary to implement the SoC’s ability to conduct appointment, election and ratification of faculty representatives.</w:t>
      </w:r>
    </w:p>
    <w:p w:rsidR="00000000" w:rsidDel="00000000" w:rsidP="00000000" w:rsidRDefault="00000000" w:rsidRPr="00000000" w14:paraId="0000001C">
      <w:pPr>
        <w:rPr/>
      </w:pPr>
      <w:r w:rsidDel="00000000" w:rsidR="00000000" w:rsidRPr="00000000">
        <w:rPr>
          <w:rtl w:val="0"/>
        </w:rPr>
        <w:t xml:space="preserve">Google doc</w:t>
      </w:r>
      <w:hyperlink r:id="rId8">
        <w:r w:rsidDel="00000000" w:rsidR="00000000" w:rsidRPr="00000000">
          <w:rPr>
            <w:rtl w:val="0"/>
          </w:rPr>
          <w:t xml:space="preserve"> </w:t>
        </w:r>
      </w:hyperlink>
      <w:hyperlink r:id="rId9">
        <w:r w:rsidDel="00000000" w:rsidR="00000000" w:rsidRPr="00000000">
          <w:rPr>
            <w:color w:val="1155cc"/>
            <w:u w:val="single"/>
            <w:rtl w:val="0"/>
          </w:rPr>
          <w:t xml:space="preserve">link to section 9</w:t>
        </w:r>
      </w:hyperlink>
      <w:r w:rsidDel="00000000" w:rsidR="00000000" w:rsidRPr="00000000">
        <w:rPr>
          <w:rtl w:val="0"/>
        </w:rPr>
        <w:t xml:space="preserve"> suggested changes</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9.1.5.A and 9.1.5.F – alteration of committee selecting an Hearing Committee – </w:t>
      </w:r>
      <w:r w:rsidDel="00000000" w:rsidR="00000000" w:rsidRPr="00000000">
        <w:rPr>
          <w:color w:val="ff0000"/>
          <w:rtl w:val="0"/>
        </w:rPr>
        <w:t xml:space="preserve">New adjustments to 9.1.5.A, B, F.</w:t>
      </w:r>
    </w:p>
    <w:p w:rsidR="00000000" w:rsidDel="00000000" w:rsidP="00000000" w:rsidRDefault="00000000" w:rsidRPr="00000000" w14:paraId="0000001F">
      <w:pPr>
        <w:numPr>
          <w:ilvl w:val="0"/>
          <w:numId w:val="4"/>
        </w:numPr>
        <w:ind w:left="720" w:hanging="360"/>
        <w:rPr>
          <w:u w:val="none"/>
        </w:rPr>
      </w:pPr>
      <w:r w:rsidDel="00000000" w:rsidR="00000000" w:rsidRPr="00000000">
        <w:rPr>
          <w:color w:val="ff0000"/>
          <w:rtl w:val="0"/>
        </w:rPr>
        <w:t xml:space="preserve">9.2.2.2.c.1 Faculty Senate to appoint SoC subject to ratification of Faculty. </w:t>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9.2.6 Faculty Senate Subcommittee on Committees – </w:t>
      </w:r>
      <w:r w:rsidDel="00000000" w:rsidR="00000000" w:rsidRPr="00000000">
        <w:rPr>
          <w:color w:val="ff0000"/>
          <w:rtl w:val="0"/>
        </w:rPr>
        <w:t xml:space="preserve">some clarifying language</w:t>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Removal of language regarding the Technology Enhanced Learning Subcommittee (TEL) of AAC.  More discussion of the role of TEL to be performed before FHB language ready.</w:t>
      </w:r>
    </w:p>
    <w:p w:rsidR="00000000" w:rsidDel="00000000" w:rsidP="00000000" w:rsidRDefault="00000000" w:rsidRPr="00000000" w14:paraId="00000022">
      <w:pPr>
        <w:numPr>
          <w:ilvl w:val="0"/>
          <w:numId w:val="4"/>
        </w:numPr>
        <w:ind w:left="720" w:hanging="360"/>
        <w:rPr>
          <w:u w:val="none"/>
        </w:rPr>
      </w:pPr>
      <w:r w:rsidDel="00000000" w:rsidR="00000000" w:rsidRPr="00000000">
        <w:rPr>
          <w:rtl w:val="0"/>
        </w:rPr>
        <w:t xml:space="preserve">9.3.3.A addition of “Typically the chair will be a tenured member of the Faculty.”</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9.3.3.B Altered language stating when duties of department chair begins. </w:t>
      </w:r>
    </w:p>
    <w:p w:rsidR="00000000" w:rsidDel="00000000" w:rsidP="00000000" w:rsidRDefault="00000000" w:rsidRPr="00000000" w14:paraId="00000024">
      <w:pPr>
        <w:numPr>
          <w:ilvl w:val="0"/>
          <w:numId w:val="4"/>
        </w:numPr>
        <w:ind w:left="720" w:hanging="360"/>
        <w:rPr>
          <w:color w:val="ff0000"/>
          <w:u w:val="none"/>
        </w:rPr>
      </w:pPr>
      <w:r w:rsidDel="00000000" w:rsidR="00000000" w:rsidRPr="00000000">
        <w:rPr>
          <w:color w:val="ff0000"/>
          <w:rtl w:val="0"/>
        </w:rPr>
        <w:t xml:space="preserve">9.3.3.D Acting Chair – not more than 3 years; normally not more than one.</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Motion 3:</w:t>
      </w:r>
      <w:r w:rsidDel="00000000" w:rsidR="00000000" w:rsidRPr="00000000">
        <w:rPr>
          <w:rtl w:val="0"/>
        </w:rPr>
        <w:t xml:space="preserve"> To approve the PPC recommended changes to Section 2 Code of Ethics.</w:t>
      </w:r>
    </w:p>
    <w:p w:rsidR="00000000" w:rsidDel="00000000" w:rsidP="00000000" w:rsidRDefault="00000000" w:rsidRPr="00000000" w14:paraId="00000027">
      <w:pPr>
        <w:rPr/>
      </w:pPr>
      <w:r w:rsidDel="00000000" w:rsidR="00000000" w:rsidRPr="00000000">
        <w:rPr>
          <w:rtl w:val="0"/>
        </w:rPr>
        <w:t xml:space="preserve">Google doc</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link to section 2</w:t>
        </w:r>
      </w:hyperlink>
      <w:r w:rsidDel="00000000" w:rsidR="00000000" w:rsidRPr="00000000">
        <w:rPr>
          <w:rtl w:val="0"/>
        </w:rPr>
        <w:t xml:space="preserve"> suggested changes</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2.2.IV Institutional Responsibility – Faculty member’s failure to perform core responsibilities and assigned duties is considered an ethical breach to the institution, their colleagues, or students.</w:t>
      </w:r>
    </w:p>
    <w:p w:rsidR="00000000" w:rsidDel="00000000" w:rsidP="00000000" w:rsidRDefault="00000000" w:rsidRPr="00000000" w14:paraId="00000029">
      <w:pPr>
        <w:numPr>
          <w:ilvl w:val="0"/>
          <w:numId w:val="2"/>
        </w:numPr>
        <w:ind w:left="720" w:right="-80" w:hanging="360"/>
        <w:rPr>
          <w:u w:val="none"/>
        </w:rPr>
      </w:pPr>
      <w:r w:rsidDel="00000000" w:rsidR="00000000" w:rsidRPr="00000000">
        <w:rPr>
          <w:rtl w:val="0"/>
        </w:rPr>
        <w:t xml:space="preserve">2.3 Academic Freedom Inclusion of a paragraph from the Faculty Approved Bias/Discrimination Reporting Policy</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2.5.4 Additions to non-discrimination</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2.6.2 Confronting Ethical Violations:</w:t>
      </w:r>
    </w:p>
    <w:p w:rsidR="00000000" w:rsidDel="00000000" w:rsidP="00000000" w:rsidRDefault="00000000" w:rsidRPr="00000000" w14:paraId="0000002C">
      <w:pPr>
        <w:ind w:left="1170" w:firstLine="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second paragraph reporting sentence added</w:t>
      </w:r>
    </w:p>
    <w:p w:rsidR="00000000" w:rsidDel="00000000" w:rsidP="00000000" w:rsidRDefault="00000000" w:rsidRPr="00000000" w14:paraId="0000002D">
      <w:pPr>
        <w:ind w:left="1170" w:firstLine="0"/>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(a) Administrative Suspension – some wording changed, including, “paid”, “physical health” to “physical or emotional” and “only” struck twice.</w:t>
      </w:r>
    </w:p>
    <w:p w:rsidR="00000000" w:rsidDel="00000000" w:rsidP="00000000" w:rsidRDefault="00000000" w:rsidRPr="00000000" w14:paraId="0000002E">
      <w:pPr>
        <w:ind w:left="1170" w:firstLine="0"/>
        <w:rPr/>
      </w:pPr>
      <w:r w:rsidDel="00000000" w:rsidR="00000000" w:rsidRPr="00000000">
        <w:rPr>
          <w:rtl w:val="0"/>
        </w:rPr>
        <w:t xml:space="preserve">iii)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 Mediation - “from the faculty” struck</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ind w:right="-26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ab/>
      </w:r>
      <w:r w:rsidDel="00000000" w:rsidR="00000000" w:rsidRPr="00000000">
        <w:rPr>
          <w:b w:val="1"/>
          <w:rtl w:val="0"/>
        </w:rPr>
        <w:t xml:space="preserve">Motion 4: </w:t>
      </w:r>
      <w:r w:rsidDel="00000000" w:rsidR="00000000" w:rsidRPr="00000000">
        <w:rPr>
          <w:rtl w:val="0"/>
        </w:rPr>
        <w:t xml:space="preserve">To approve the PPC recommended changes to Section 3.5 Department Chair.</w:t>
      </w:r>
    </w:p>
    <w:p w:rsidR="00000000" w:rsidDel="00000000" w:rsidP="00000000" w:rsidRDefault="00000000" w:rsidRPr="00000000" w14:paraId="00000031">
      <w:pPr>
        <w:rPr/>
      </w:pPr>
      <w:r w:rsidDel="00000000" w:rsidR="00000000" w:rsidRPr="00000000">
        <w:rPr>
          <w:rtl w:val="0"/>
        </w:rPr>
        <w:t xml:space="preserve">Google doc</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link to section 3</w:t>
        </w:r>
      </w:hyperlink>
      <w:r w:rsidDel="00000000" w:rsidR="00000000" w:rsidRPr="00000000">
        <w:rPr>
          <w:rtl w:val="0"/>
        </w:rPr>
        <w:t xml:space="preserve"> suggested changes</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3.5.2.g Inclusion of language clarifying to whom faculty report.</w:t>
      </w:r>
      <w:r w:rsidDel="00000000" w:rsidR="00000000" w:rsidRPr="00000000">
        <w:rPr>
          <w:color w:val="ff0000"/>
          <w:rtl w:val="0"/>
        </w:rPr>
        <w:t xml:space="preserve">updated</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3.5.2.h Adjustment to language regarding chair and program director within department relationship.  </w:t>
      </w:r>
      <w:r w:rsidDel="00000000" w:rsidR="00000000" w:rsidRPr="00000000">
        <w:rPr>
          <w:color w:val="ff0000"/>
          <w:rtl w:val="0"/>
        </w:rPr>
        <w:t xml:space="preserve">updated</w:t>
      </w:r>
      <w:r w:rsidDel="00000000" w:rsidR="00000000" w:rsidRPr="00000000">
        <w:rPr>
          <w:rtl w:val="0"/>
        </w:rPr>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3.5.5.2 Adjustment to language regarding removal of chair - </w:t>
      </w:r>
      <w:r w:rsidDel="00000000" w:rsidR="00000000" w:rsidRPr="00000000">
        <w:rPr>
          <w:color w:val="ff0000"/>
          <w:rtl w:val="0"/>
        </w:rPr>
        <w:t xml:space="preserve">updated</w:t>
      </w:r>
    </w:p>
    <w:p w:rsidR="00000000" w:rsidDel="00000000" w:rsidP="00000000" w:rsidRDefault="00000000" w:rsidRPr="00000000" w14:paraId="00000035">
      <w:pPr>
        <w:ind w:left="630" w:firstLine="0"/>
        <w:rPr/>
      </w:pPr>
      <w:r w:rsidDel="00000000" w:rsidR="00000000" w:rsidRPr="00000000">
        <w:rPr>
          <w:rtl w:val="0"/>
        </w:rPr>
        <w:t xml:space="preserve"> </w:t>
      </w:r>
    </w:p>
    <w:p w:rsidR="00000000" w:rsidDel="00000000" w:rsidP="00000000" w:rsidRDefault="00000000" w:rsidRPr="00000000" w14:paraId="00000036">
      <w:pPr>
        <w:ind w:left="0" w:firstLine="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Note: PPC will relabel sections 8 - 17 to be Appendices of the Faculty Handbook.</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282T9BrkAi3nxS7IFuyIvZuSR-noKes66vA9B6quZ9E/edit?usp=sharing" TargetMode="External"/><Relationship Id="rId10" Type="http://schemas.openxmlformats.org/officeDocument/2006/relationships/hyperlink" Target="https://docs.google.com/document/d/1282T9BrkAi3nxS7IFuyIvZuSR-noKes66vA9B6quZ9E/edit?usp=sharing" TargetMode="External"/><Relationship Id="rId13" Type="http://schemas.openxmlformats.org/officeDocument/2006/relationships/hyperlink" Target="https://docs.google.com/document/d/1mmYdmwdXMcQ-V8wWwUYhKK3RguJK543DUvVPJONR50I/edit?usp=sharing" TargetMode="External"/><Relationship Id="rId12" Type="http://schemas.openxmlformats.org/officeDocument/2006/relationships/hyperlink" Target="https://docs.google.com/document/d/1mmYdmwdXMcQ-V8wWwUYhKK3RguJK543DUvVPJONR50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mJb4vu6lqaWvKAKDPOywRPV8jdkq87HA6Ag9zMqmghg/edit?usp=sharing" TargetMode="External"/><Relationship Id="rId5" Type="http://schemas.openxmlformats.org/officeDocument/2006/relationships/styles" Target="styles.xml"/><Relationship Id="rId6" Type="http://schemas.openxmlformats.org/officeDocument/2006/relationships/hyperlink" Target="https://docs.google.com/document/d/1oG9RkrNGclYQHfekdjT2Q_IfDnKANy6VU1rovBhRhVI/edit?usp=sharing" TargetMode="External"/><Relationship Id="rId7" Type="http://schemas.openxmlformats.org/officeDocument/2006/relationships/hyperlink" Target="https://docs.google.com/document/d/1oG9RkrNGclYQHfekdjT2Q_IfDnKANy6VU1rovBhRhVI/edit?usp=sharing" TargetMode="External"/><Relationship Id="rId8" Type="http://schemas.openxmlformats.org/officeDocument/2006/relationships/hyperlink" Target="https://docs.google.com/document/d/1mJb4vu6lqaWvKAKDPOywRPV8jdkq87HA6Ag9zMqmghg/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