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D2" w:rsidRPr="00E255D2" w:rsidRDefault="00E255D2" w:rsidP="00E2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The New Augsburg Core -- Design Parameters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These guiding principles and parameters will serve as the framing ideas of curriculum design.  Both mission-driven and practical, they aim to be forward-thinking on equity, access, and integrative learning.  Still a draft, they reflect input and advice gathered from numerous </w:t>
      </w:r>
      <w:r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conversations</w:t>
      </w: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 with </w:t>
      </w:r>
      <w:r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groups of </w:t>
      </w: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faculty and staff.  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A new core curriculum will …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Further our mission to develop informed citizens, thoughtful stewards, critical thinkers, and responsible leaders:</w:t>
      </w:r>
    </w:p>
    <w:p w:rsidR="00E255D2" w:rsidRPr="00E255D2" w:rsidRDefault="00E255D2" w:rsidP="00E255D2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Provide a strong foundation in the liberal arts for all majors</w:t>
      </w:r>
    </w:p>
    <w:p w:rsidR="00E255D2" w:rsidRPr="00E255D2" w:rsidRDefault="00E255D2" w:rsidP="00E255D2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Embed skills development across the four years and make them explicit</w:t>
      </w:r>
    </w:p>
    <w:p w:rsidR="00E255D2" w:rsidRPr="00E255D2" w:rsidRDefault="00E255D2" w:rsidP="00E255D2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Make our mission-related  </w:t>
      </w:r>
      <w:proofErr w:type="spellStart"/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iSLOs</w:t>
      </w:r>
      <w:proofErr w:type="spellEnd"/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 visible in the curriculum and include clear assessment points</w:t>
      </w:r>
    </w:p>
    <w:p w:rsidR="00E255D2" w:rsidRPr="00E255D2" w:rsidRDefault="00E255D2" w:rsidP="00E255D2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Help students to develop the capacity to work effectively with others across difference</w:t>
      </w:r>
    </w:p>
    <w:p w:rsidR="00E255D2" w:rsidRPr="00E255D2" w:rsidRDefault="00E255D2" w:rsidP="00E255D2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Foster an understanding of racism, intersectionality, and the structural barriers many face (</w:t>
      </w:r>
      <w:r w:rsidR="006926C7">
        <w:rPr>
          <w:rFonts w:ascii="Cambria" w:eastAsia="Times New Roman" w:hAnsi="Cambria" w:cs="Times New Roman"/>
          <w:color w:val="000000"/>
          <w:sz w:val="24"/>
          <w:szCs w:val="24"/>
        </w:rPr>
        <w:t xml:space="preserve">we may still need to 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get the words and focus right here)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Reflect Augsburg’s distinctive values, grounded in the college’s Lutheran heritage &amp; our </w:t>
      </w:r>
      <w:r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commitments to vocation, values, ethics, and local / global citizenship</w:t>
      </w: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:</w:t>
      </w:r>
    </w:p>
    <w:p w:rsid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Include discussion of vocation, values, ethics, and the “search for meaning”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Address “Big Ideas” and model/introduce interdisciplinary problem-solving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Make an Augsburg education readily accessible to all students: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Include a First-Year Experience, a Second-Year Experience, and some kind of Keystone that are developmentally appropriate</w:t>
      </w:r>
    </w:p>
    <w:p w:rsid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Have deliberate “on ramps” for Transfers – perhaps a specially design</w:t>
      </w:r>
      <w:r w:rsidR="006926C7">
        <w:rPr>
          <w:rFonts w:ascii="Cambria" w:eastAsia="Times New Roman" w:hAnsi="Cambria" w:cs="Times New Roman"/>
          <w:color w:val="000000"/>
          <w:sz w:val="24"/>
          <w:szCs w:val="24"/>
        </w:rPr>
        <w:t>ed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 course as part of the Second-Year Experience</w:t>
      </w:r>
    </w:p>
    <w:p w:rsid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Be compatible with the MN Transfer agreement </w:t>
      </w:r>
      <w:r w:rsidRPr="00E255D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--</w:t>
      </w:r>
      <w:hyperlink r:id="rId7" w:history="1">
        <w:r w:rsidRPr="00E255D2">
          <w:rPr>
            <w:rFonts w:ascii="Cambria" w:eastAsia="Times New Roman" w:hAnsi="Cambria" w:cs="Times New Roman"/>
            <w:b/>
            <w:bCs/>
            <w:color w:val="000000"/>
            <w:sz w:val="24"/>
            <w:szCs w:val="24"/>
          </w:rPr>
          <w:t xml:space="preserve"> </w:t>
        </w:r>
        <w:r w:rsidRPr="00E255D2">
          <w:rPr>
            <w:rFonts w:ascii="Cambria" w:eastAsia="Times New Roman" w:hAnsi="Cambria" w:cs="Times New Roman"/>
            <w:color w:val="1155CC"/>
            <w:sz w:val="24"/>
            <w:szCs w:val="24"/>
            <w:u w:val="single"/>
          </w:rPr>
          <w:t>Minnesota Transfer Curriculum (MNTC)</w:t>
        </w:r>
      </w:hyperlink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</w:p>
    <w:p w:rsid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Be no larger than 48 credits (12 courses), or about 1/3 of the 128 credits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Meet or exceed the expectations and standards of the</w:t>
      </w:r>
      <w:hyperlink r:id="rId8" w:history="1">
        <w:r w:rsidRPr="00E255D2">
          <w:rPr>
            <w:rFonts w:ascii="Cambria" w:eastAsia="Times New Roman" w:hAnsi="Cambria" w:cs="Times New Roman"/>
            <w:color w:val="000000"/>
            <w:sz w:val="24"/>
            <w:szCs w:val="24"/>
          </w:rPr>
          <w:t xml:space="preserve"> </w:t>
        </w:r>
        <w:r w:rsidRPr="00E255D2">
          <w:rPr>
            <w:rFonts w:ascii="Cambria" w:eastAsia="Times New Roman" w:hAnsi="Cambria" w:cs="Times New Roman"/>
            <w:color w:val="1155CC"/>
            <w:sz w:val="24"/>
            <w:szCs w:val="24"/>
            <w:u w:val="single"/>
          </w:rPr>
          <w:t>Higher Learning Commission</w:t>
        </w:r>
      </w:hyperlink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, as well as the</w:t>
      </w:r>
      <w:hyperlink r:id="rId9" w:history="1">
        <w:r w:rsidRPr="00E255D2">
          <w:rPr>
            <w:rFonts w:ascii="Cambria" w:eastAsia="Times New Roman" w:hAnsi="Cambria" w:cs="Times New Roman"/>
            <w:color w:val="000000"/>
            <w:sz w:val="24"/>
            <w:szCs w:val="24"/>
          </w:rPr>
          <w:t xml:space="preserve"> </w:t>
        </w:r>
        <w:r w:rsidRPr="00E255D2">
          <w:rPr>
            <w:rFonts w:ascii="Cambria" w:eastAsia="Times New Roman" w:hAnsi="Cambria" w:cs="Times New Roman"/>
            <w:color w:val="1155CC"/>
            <w:sz w:val="24"/>
            <w:szCs w:val="24"/>
            <w:u w:val="single"/>
          </w:rPr>
          <w:t>Minnesota Department of Higher Education</w:t>
        </w:r>
      </w:hyperlink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Employ the best pedagogical practices to meet student needs upon matriculation, during their time here, and after graduation: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Deliberately integrate high-impact practices and pedagogies, such as those named by the</w:t>
      </w:r>
      <w:hyperlink r:id="rId10" w:history="1">
        <w:r w:rsidRPr="00E255D2">
          <w:rPr>
            <w:rFonts w:ascii="Cambria" w:eastAsia="Times New Roman" w:hAnsi="Cambria" w:cs="Times New Roman"/>
            <w:color w:val="000000"/>
            <w:sz w:val="24"/>
            <w:szCs w:val="24"/>
          </w:rPr>
          <w:t xml:space="preserve"> </w:t>
        </w:r>
        <w:r w:rsidRPr="00E255D2">
          <w:rPr>
            <w:rFonts w:ascii="Cambria" w:eastAsia="Times New Roman" w:hAnsi="Cambria" w:cs="Times New Roman"/>
            <w:color w:val="1155CC"/>
            <w:sz w:val="24"/>
            <w:szCs w:val="24"/>
            <w:u w:val="single"/>
          </w:rPr>
          <w:t>AACU</w:t>
        </w:r>
      </w:hyperlink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Build on our expertise in experiential learning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Help students develop the capacity for Signature Work in majors (that incorporates problem-solving, integrative learning, and civic engagement, as recommended by the Signature Work working committee last summer)</w:t>
      </w:r>
    </w:p>
    <w:p w:rsidR="00E255D2" w:rsidRPr="00E255D2" w:rsidRDefault="00E255D2" w:rsidP="00E255D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Help students navigate the gap between their studies and their careers.</w:t>
      </w:r>
    </w:p>
    <w:p w:rsidR="00E255D2" w:rsidRDefault="00E255D2" w:rsidP="00E255D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 xml:space="preserve">As we conceptualize this work, members of the Design Team recognize the intersecting nature of </w:t>
      </w:r>
      <w:r w:rsidRPr="00E255D2">
        <w:rPr>
          <w:rFonts w:ascii="Cambria" w:eastAsia="Times New Roman" w:hAnsi="Cambria" w:cs="Times New Roman"/>
          <w:b/>
          <w:color w:val="000000"/>
          <w:sz w:val="24"/>
          <w:szCs w:val="24"/>
        </w:rPr>
        <w:t>curriculum, pedagogy, and personnel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.  Our proposals will address the following questions:</w:t>
      </w:r>
    </w:p>
    <w:p w:rsidR="00E255D2" w:rsidRPr="00E255D2" w:rsidRDefault="00E255D2" w:rsidP="00E255D2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What will be required?</w:t>
      </w:r>
    </w:p>
    <w:p w:rsidR="00E255D2" w:rsidRPr="00E255D2" w:rsidRDefault="00E255D2" w:rsidP="00E255D2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How will it be delivered (calendar, clustered courses, experiential components, etc.)?</w:t>
      </w:r>
    </w:p>
    <w:p w:rsidR="00E255D2" w:rsidRPr="00E255D2" w:rsidRDefault="00E255D2" w:rsidP="00E255D2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Who will deliver it (full-time, tenure-track faculty)?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We are considering the following themes 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(which intersect with what Institutional Advancement is using for its next capital campaign):</w:t>
      </w: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55D2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Building Lives: 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>see</w:t>
      </w:r>
      <w:r w:rsidRPr="00E255D2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 xml:space="preserve">what William Deresiewicz has to say about this in </w:t>
      </w:r>
      <w:r w:rsidRPr="00E255D2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 xml:space="preserve">Excellent Sheep:  The Miseducation of the American Elite 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 xml:space="preserve">(2014). </w:t>
      </w:r>
    </w:p>
    <w:p w:rsidR="00E255D2" w:rsidRPr="00E255D2" w:rsidRDefault="00E255D2" w:rsidP="00E255D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55D2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Preparing for Careers: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 xml:space="preserve">  be intentional about building career and vocational exploration into the curriculum pathways: for example, see this</w:t>
      </w:r>
      <w:hyperlink r:id="rId11" w:history="1">
        <w:r w:rsidRPr="00E255D2">
          <w:rPr>
            <w:rFonts w:ascii="Cambria" w:eastAsia="Times New Roman" w:hAnsi="Cambria" w:cs="Arial"/>
            <w:color w:val="000000"/>
            <w:sz w:val="24"/>
            <w:szCs w:val="24"/>
          </w:rPr>
          <w:t xml:space="preserve"> </w:t>
        </w:r>
        <w:r w:rsidRPr="00E255D2">
          <w:rPr>
            <w:rFonts w:ascii="Cambria" w:eastAsia="Times New Roman" w:hAnsi="Cambria" w:cs="Arial"/>
            <w:color w:val="1155CC"/>
            <w:sz w:val="24"/>
            <w:szCs w:val="24"/>
            <w:u w:val="single"/>
          </w:rPr>
          <w:t>recent article</w:t>
        </w:r>
      </w:hyperlink>
      <w:r w:rsidRPr="00E255D2">
        <w:rPr>
          <w:rFonts w:ascii="Cambria" w:eastAsia="Times New Roman" w:hAnsi="Cambria" w:cs="Arial"/>
          <w:color w:val="000000"/>
          <w:sz w:val="24"/>
          <w:szCs w:val="24"/>
        </w:rPr>
        <w:t xml:space="preserve"> in </w:t>
      </w:r>
      <w:r w:rsidRPr="00E255D2">
        <w:rPr>
          <w:rFonts w:ascii="Cambria" w:eastAsia="Times New Roman" w:hAnsi="Cambria" w:cs="Arial"/>
          <w:i/>
          <w:iCs/>
          <w:color w:val="000000"/>
          <w:sz w:val="24"/>
          <w:szCs w:val="24"/>
        </w:rPr>
        <w:t>The Huffington Post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 xml:space="preserve"> (9/8/16)[1]</w:t>
      </w:r>
    </w:p>
    <w:p w:rsidR="00E255D2" w:rsidRPr="00E255D2" w:rsidRDefault="00E255D2" w:rsidP="00E255D2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255D2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Engaging Community:  </w:t>
      </w:r>
      <w:r w:rsidRPr="00E255D2">
        <w:rPr>
          <w:rFonts w:ascii="Cambria" w:eastAsia="Times New Roman" w:hAnsi="Cambria" w:cs="Arial"/>
          <w:color w:val="000000"/>
          <w:sz w:val="24"/>
          <w:szCs w:val="24"/>
        </w:rPr>
        <w:t>the core curriculum could build in pedagogies borrowed from the Center for Democracy and Citizenship (e.g. Public Achievement, Public Narrative, Power Mapping)</w:t>
      </w:r>
    </w:p>
    <w:p w:rsidR="00E255D2" w:rsidRDefault="00E255D2" w:rsidP="00E255D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Next steps:</w:t>
      </w:r>
    </w:p>
    <w:p w:rsidR="00E255D2" w:rsidRPr="00E255D2" w:rsidRDefault="002711DB" w:rsidP="00E255D2">
      <w:pPr>
        <w:numPr>
          <w:ilvl w:val="0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W</w:t>
      </w:r>
      <w:r w:rsidR="00E255D2" w:rsidRPr="00E255D2">
        <w:rPr>
          <w:rFonts w:ascii="Cambria" w:eastAsia="Times New Roman" w:hAnsi="Cambria" w:cs="Times New Roman"/>
          <w:color w:val="000000"/>
          <w:sz w:val="24"/>
          <w:szCs w:val="24"/>
        </w:rPr>
        <w:t>e need special consultations on:</w:t>
      </w:r>
    </w:p>
    <w:p w:rsidR="00E255D2" w:rsidRPr="00E255D2" w:rsidRDefault="00E255D2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Equity (Terrance Kwame-Ross, Audrey </w:t>
      </w:r>
      <w:proofErr w:type="spellStart"/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Len</w:t>
      </w:r>
      <w:r w:rsidR="0078640D">
        <w:rPr>
          <w:rFonts w:ascii="Cambria" w:eastAsia="Times New Roman" w:hAnsi="Cambria" w:cs="Times New Roman"/>
          <w:color w:val="000000"/>
          <w:sz w:val="24"/>
          <w:szCs w:val="24"/>
        </w:rPr>
        <w:t>smire</w:t>
      </w:r>
      <w:proofErr w:type="spellEnd"/>
      <w:r w:rsidR="0078640D">
        <w:rPr>
          <w:rFonts w:ascii="Cambria" w:eastAsia="Times New Roman" w:hAnsi="Cambria" w:cs="Times New Roman"/>
          <w:color w:val="000000"/>
          <w:sz w:val="24"/>
          <w:szCs w:val="24"/>
        </w:rPr>
        <w:t>, Jennifer Diaz, Campus Climate Committee</w:t>
      </w:r>
      <w:r w:rsidR="006926C7">
        <w:rPr>
          <w:rFonts w:ascii="Cambria" w:eastAsia="Times New Roman" w:hAnsi="Cambria" w:cs="Times New Roman"/>
          <w:color w:val="000000"/>
          <w:sz w:val="24"/>
          <w:szCs w:val="24"/>
        </w:rPr>
        <w:t>, etc.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) </w:t>
      </w:r>
    </w:p>
    <w:p w:rsidR="00E255D2" w:rsidRPr="00E255D2" w:rsidRDefault="00E255D2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Transfers (William Mullen, Judy Johnson, Katie Bishop</w:t>
      </w:r>
      <w:r w:rsidR="006926C7">
        <w:rPr>
          <w:rFonts w:ascii="Cambria" w:eastAsia="Times New Roman" w:hAnsi="Cambria" w:cs="Times New Roman"/>
          <w:color w:val="000000"/>
          <w:sz w:val="24"/>
          <w:szCs w:val="24"/>
        </w:rPr>
        <w:t>, etc.</w:t>
      </w: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E255D2" w:rsidRDefault="00E255D2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 xml:space="preserve">Developmentally appropriate coursework (Ally Jepson, </w:t>
      </w:r>
      <w:r w:rsidR="00C62CF4" w:rsidRPr="005712C6">
        <w:rPr>
          <w:rFonts w:ascii="Cambria" w:hAnsi="Cambria"/>
          <w:sz w:val="24"/>
          <w:szCs w:val="24"/>
        </w:rPr>
        <w:t>Joaquin Munoz,</w:t>
      </w:r>
      <w:r w:rsidR="00C62CF4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E255D2">
        <w:rPr>
          <w:rFonts w:ascii="Cambria" w:eastAsia="Times New Roman" w:hAnsi="Cambria" w:cs="Times New Roman"/>
          <w:color w:val="000000"/>
          <w:sz w:val="24"/>
          <w:szCs w:val="24"/>
        </w:rPr>
        <w:t>others)</w:t>
      </w:r>
    </w:p>
    <w:p w:rsidR="00940929" w:rsidRDefault="00940929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Experiential Learning (</w:t>
      </w:r>
      <w:r w:rsidR="002711DB">
        <w:rPr>
          <w:rFonts w:ascii="Cambria" w:eastAsia="Times New Roman" w:hAnsi="Cambria" w:cs="Times New Roman"/>
          <w:color w:val="000000"/>
          <w:sz w:val="24"/>
          <w:szCs w:val="24"/>
        </w:rPr>
        <w:t xml:space="preserve">Nora Barr,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Keith Munson, Mary Laurel True, Garry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Hesser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, others)</w:t>
      </w:r>
    </w:p>
    <w:p w:rsidR="002711DB" w:rsidRDefault="002711DB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Vocation and the Keystone (Matt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Maruggi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, Marty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Stortz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>, others)</w:t>
      </w:r>
    </w:p>
    <w:p w:rsidR="004757C6" w:rsidRDefault="004757C6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QR</w:t>
      </w:r>
      <w:r w:rsidR="00242C2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:rsidR="004757C6" w:rsidRPr="00E255D2" w:rsidRDefault="004757C6" w:rsidP="00E255D2">
      <w:pPr>
        <w:numPr>
          <w:ilvl w:val="1"/>
          <w:numId w:val="16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Language and Culture (Michael Kidd,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Milda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Hedblom</w:t>
      </w:r>
      <w:proofErr w:type="spellEnd"/>
      <w:r w:rsidR="006926C7">
        <w:rPr>
          <w:rFonts w:ascii="Cambria" w:eastAsia="Times New Roman" w:hAnsi="Cambria" w:cs="Times New Roman"/>
          <w:color w:val="000000"/>
          <w:sz w:val="24"/>
          <w:szCs w:val="24"/>
        </w:rPr>
        <w:t>, others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) </w:t>
      </w:r>
    </w:p>
    <w:p w:rsid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5D2" w:rsidRPr="00E255D2" w:rsidRDefault="00E255D2" w:rsidP="00E2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5D2">
        <w:rPr>
          <w:rFonts w:ascii="Cambria" w:eastAsia="Times New Roman" w:hAnsi="Cambria" w:cs="Times New Roman"/>
          <w:color w:val="000000"/>
          <w:sz w:val="20"/>
          <w:szCs w:val="20"/>
        </w:rPr>
        <w:t xml:space="preserve">[1] </w:t>
      </w:r>
      <w:r w:rsidRPr="00E255D2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 Crucible Moment</w:t>
      </w:r>
      <w:r w:rsidRPr="00E255D2">
        <w:rPr>
          <w:rFonts w:ascii="Cambria" w:eastAsia="Times New Roman" w:hAnsi="Cambria" w:cs="Times New Roman"/>
          <w:color w:val="000000"/>
          <w:sz w:val="20"/>
          <w:szCs w:val="20"/>
        </w:rPr>
        <w:t>, a</w:t>
      </w:r>
      <w:hyperlink r:id="rId12" w:history="1">
        <w:r w:rsidRPr="00E255D2">
          <w:rPr>
            <w:rFonts w:ascii="Cambria" w:eastAsia="Times New Roman" w:hAnsi="Cambria" w:cs="Times New Roman"/>
            <w:color w:val="000000"/>
            <w:sz w:val="20"/>
            <w:szCs w:val="20"/>
          </w:rPr>
          <w:t xml:space="preserve"> </w:t>
        </w:r>
        <w:r w:rsidRPr="00E255D2">
          <w:rPr>
            <w:rFonts w:ascii="Cambria" w:eastAsia="Times New Roman" w:hAnsi="Cambria" w:cs="Times New Roman"/>
            <w:color w:val="1155CC"/>
            <w:sz w:val="20"/>
            <w:szCs w:val="20"/>
            <w:u w:val="single"/>
          </w:rPr>
          <w:t>2011 report</w:t>
        </w:r>
      </w:hyperlink>
      <w:r w:rsidRPr="00E255D2">
        <w:rPr>
          <w:rFonts w:ascii="Cambria" w:eastAsia="Times New Roman" w:hAnsi="Cambria" w:cs="Times New Roman"/>
          <w:color w:val="000000"/>
          <w:sz w:val="20"/>
          <w:szCs w:val="20"/>
        </w:rPr>
        <w:t xml:space="preserve"> by the Civic Learning and Democratic Engagement National Task Force, rejected the false choice between job preparation and liberal education:  “The call for educational reform cast only as a matter of work-force preparation mistakenly adopts a 19th-century industrial model for complex 21st-century needs. Reframing the public purpose of higher education in such instrumental ways will have grave consequences for America’s intellectual, social, and economic capital.”</w:t>
      </w:r>
    </w:p>
    <w:p w:rsidR="00ED3725" w:rsidRDefault="00532516"/>
    <w:sectPr w:rsidR="00ED372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516" w:rsidRDefault="00532516" w:rsidP="00E255D2">
      <w:pPr>
        <w:spacing w:after="0" w:line="240" w:lineRule="auto"/>
      </w:pPr>
      <w:r>
        <w:separator/>
      </w:r>
    </w:p>
  </w:endnote>
  <w:endnote w:type="continuationSeparator" w:id="0">
    <w:p w:rsidR="00532516" w:rsidRDefault="00532516" w:rsidP="00E2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516" w:rsidRDefault="00532516" w:rsidP="00E255D2">
      <w:pPr>
        <w:spacing w:after="0" w:line="240" w:lineRule="auto"/>
      </w:pPr>
      <w:r>
        <w:separator/>
      </w:r>
    </w:p>
  </w:footnote>
  <w:footnote w:type="continuationSeparator" w:id="0">
    <w:p w:rsidR="00532516" w:rsidRDefault="00532516" w:rsidP="00E2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5D7" w:rsidRPr="009445D7" w:rsidRDefault="009445D7">
    <w:pPr>
      <w:pStyle w:val="Header"/>
      <w:rPr>
        <w:rFonts w:ascii="Cambria" w:hAnsi="Cambria"/>
        <w:sz w:val="20"/>
        <w:szCs w:val="20"/>
      </w:rPr>
    </w:pPr>
    <w:r>
      <w:tab/>
    </w:r>
    <w:r>
      <w:tab/>
    </w:r>
    <w:r>
      <w:rPr>
        <w:rFonts w:ascii="Cambria" w:hAnsi="Cambria"/>
        <w:sz w:val="20"/>
        <w:szCs w:val="20"/>
      </w:rPr>
      <w:t>March 5, 2017</w:t>
    </w:r>
  </w:p>
  <w:sdt>
    <w:sdtPr>
      <w:id w:val="1492451671"/>
      <w:docPartObj>
        <w:docPartGallery w:val="Watermarks"/>
        <w:docPartUnique/>
      </w:docPartObj>
    </w:sdtPr>
    <w:sdtEndPr/>
    <w:sdtContent>
      <w:p w:rsidR="00E255D2" w:rsidRDefault="0053251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34E5"/>
    <w:multiLevelType w:val="multilevel"/>
    <w:tmpl w:val="E5A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95024"/>
    <w:multiLevelType w:val="multilevel"/>
    <w:tmpl w:val="620826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C0D54"/>
    <w:multiLevelType w:val="multilevel"/>
    <w:tmpl w:val="EEE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56FB5"/>
    <w:multiLevelType w:val="multilevel"/>
    <w:tmpl w:val="A1A0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465D7"/>
    <w:multiLevelType w:val="multilevel"/>
    <w:tmpl w:val="906E3C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7500D"/>
    <w:multiLevelType w:val="multilevel"/>
    <w:tmpl w:val="A83A25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B7971"/>
    <w:multiLevelType w:val="multilevel"/>
    <w:tmpl w:val="900C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D2"/>
    <w:rsid w:val="00000683"/>
    <w:rsid w:val="00242C29"/>
    <w:rsid w:val="002711DB"/>
    <w:rsid w:val="003439CB"/>
    <w:rsid w:val="004757C6"/>
    <w:rsid w:val="00532516"/>
    <w:rsid w:val="005712C6"/>
    <w:rsid w:val="005A208D"/>
    <w:rsid w:val="006926C7"/>
    <w:rsid w:val="006949F0"/>
    <w:rsid w:val="00784031"/>
    <w:rsid w:val="0078640D"/>
    <w:rsid w:val="00940929"/>
    <w:rsid w:val="009445D7"/>
    <w:rsid w:val="00C26E71"/>
    <w:rsid w:val="00C62CF4"/>
    <w:rsid w:val="00E255D2"/>
    <w:rsid w:val="00E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46AB09C-5606-433E-BE31-C70354CA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55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D2"/>
  </w:style>
  <w:style w:type="paragraph" w:styleId="Footer">
    <w:name w:val="footer"/>
    <w:basedOn w:val="Normal"/>
    <w:link w:val="FooterChar"/>
    <w:uiPriority w:val="99"/>
    <w:unhideWhenUsed/>
    <w:rsid w:val="00E2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D2"/>
  </w:style>
  <w:style w:type="paragraph" w:styleId="ListParagraph">
    <w:name w:val="List Paragraph"/>
    <w:basedOn w:val="Normal"/>
    <w:uiPriority w:val="34"/>
    <w:qFormat/>
    <w:rsid w:val="00E2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lcommission.org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ntransfer.org/transfer/mntc/t_mntc.php" TargetMode="External"/><Relationship Id="rId12" Type="http://schemas.openxmlformats.org/officeDocument/2006/relationships/hyperlink" Target="https://www2.ed.gov/rschstat/research/pubs/college-learning-democracys-future/crucible-moment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uffingtonpost.com/entry/57d1aa7ce4b0f831f70716eb?timestamp=1473359012561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acu.org/leap/h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he.state.mn.us/mPg.cfm?pageID=20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B0"/>
    <w:rsid w:val="002161CD"/>
    <w:rsid w:val="008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6697F1324246FC99A61D0F5044EFEE">
    <w:name w:val="146697F1324246FC99A61D0F5044EFEE"/>
    <w:rsid w:val="00832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 deVries</dc:creator>
  <cp:keywords/>
  <dc:description/>
  <cp:lastModifiedBy>Jacqueline R deVries</cp:lastModifiedBy>
  <cp:revision>2</cp:revision>
  <dcterms:created xsi:type="dcterms:W3CDTF">2017-03-05T23:22:00Z</dcterms:created>
  <dcterms:modified xsi:type="dcterms:W3CDTF">2017-03-05T23:22:00Z</dcterms:modified>
</cp:coreProperties>
</file>