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Augsburg College Faculty Meeting Minutes</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Thursday, October 13, 3:40 p.m.</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East Commons, Augsburg College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Provost called the meeting to order at 3:40 p.m.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First Word</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Kathy Swanson, Professor of English and Donte Collins, Day student, offered the First Word.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Faculty Meeting minutes from 15 September 2016 were presented and approved.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of Agenda</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The meeting’s agenda was approved after one modification from the Provost: Joe Underhill, Professor of Political Science, would like to make an announcement on the Nobel Peace Prize Forum. The agenda was approved and amended.</w:t>
        <w:br w:type="textWrapping"/>
      </w: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Announcements</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Introduction to AAUP</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Doug Green, Professor of English, and Elise Marubbio, Associate Professor of American Indian Studies, highlighted the Faculty Senate Report, acknowledging a policy in the Faculty Handbook, section 2.3 on Academic Freedom.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Nobel Peace Prize Forum</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Joe Underhill gave a quick presentation on the 2017 Nobel Peace Prize Forum. The Forum has been moved to September 15-16, 2017, and will take place at Augsburg College, the University of Minnesota, and in the Cedar Riverside neighborhood. Underhill noted four Laureates from the 2015 Tunisian National Dialogue Quartet will be there. The five themes for the 2017 Forum are:</w:t>
      </w:r>
    </w:p>
    <w:p w:rsidR="00000000" w:rsidDel="00000000" w:rsidP="00000000" w:rsidRDefault="00000000" w:rsidRPr="00000000">
      <w:pPr>
        <w:numPr>
          <w:ilvl w:val="0"/>
          <w:numId w:val="4"/>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Resolution</w:t>
      </w:r>
    </w:p>
    <w:p w:rsidR="00000000" w:rsidDel="00000000" w:rsidP="00000000" w:rsidRDefault="00000000" w:rsidRPr="00000000">
      <w:pPr>
        <w:numPr>
          <w:ilvl w:val="0"/>
          <w:numId w:val="4"/>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Issues</w:t>
      </w:r>
    </w:p>
    <w:p w:rsidR="00000000" w:rsidDel="00000000" w:rsidP="00000000" w:rsidRDefault="00000000" w:rsidRPr="00000000">
      <w:pPr>
        <w:numPr>
          <w:ilvl w:val="0"/>
          <w:numId w:val="4"/>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Rights</w:t>
      </w:r>
    </w:p>
    <w:p w:rsidR="00000000" w:rsidDel="00000000" w:rsidP="00000000" w:rsidRDefault="00000000" w:rsidRPr="00000000">
      <w:pPr>
        <w:numPr>
          <w:ilvl w:val="0"/>
          <w:numId w:val="4"/>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Poverty Reduction and Economic Development</w:t>
      </w:r>
    </w:p>
    <w:p w:rsidR="00000000" w:rsidDel="00000000" w:rsidP="00000000" w:rsidRDefault="00000000" w:rsidRPr="00000000">
      <w:pPr>
        <w:numPr>
          <w:ilvl w:val="0"/>
          <w:numId w:val="4"/>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and Wellbeing</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All faculty members who are interested in getting involved are encouraged to reach out to Joe Underhill.</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Provost’s Report</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Provost Kaivola began by identifying two meetings Augsburg College is hosting over the weekend. 1) The National Lilly Fellows Conference and 2) The Board of Regents. </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University Structure and HCSBR Board Decisions</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The Board will be voting on the name change to Augsburg University and reviewing the proposed financing plans for the Hagfors Center.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Unionization Effort for Adjunct and Non-Tenure Track Faculty</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The Provost announced that the SEIU would be filing a petition for a vote to represent adjunct and full-time non-tenure track faculty on the Minneapolis campus. A vote will occur in early November.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General Education</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Kaivola announced that the topic of November’s Faculty Meeting will be focused around the General Education Review. More announcements on this will be made next week. Kaivola called upon anyone interested in serving in one of these capacities (design team or advisory council) to let her or </w:t>
      </w:r>
      <w:r w:rsidDel="00000000" w:rsidR="00000000" w:rsidRPr="00000000">
        <w:rPr>
          <w:rFonts w:ascii="Times New Roman" w:cs="Times New Roman" w:eastAsia="Times New Roman" w:hAnsi="Times New Roman"/>
          <w:sz w:val="24"/>
          <w:szCs w:val="24"/>
          <w:highlight w:val="white"/>
          <w:rtl w:val="0"/>
        </w:rPr>
        <w:t xml:space="preserve">Jacqueline deVries, Professor and Director of General Education, know</w:t>
      </w:r>
      <w:r w:rsidDel="00000000" w:rsidR="00000000" w:rsidRPr="00000000">
        <w:rPr>
          <w:rFonts w:ascii="Times New Roman" w:cs="Times New Roman" w:eastAsia="Times New Roman" w:hAnsi="Times New Roman"/>
          <w:sz w:val="24"/>
          <w:szCs w:val="24"/>
          <w:rtl w:val="0"/>
        </w:rPr>
        <w:t xml:space="preserve">. “Everyone has a chance to be involved.”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Reviews of Non-Tenure Track Faculty Positions</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Departments will begin the review process for full-time non-tenure track faculty, as outlined in Section 6 of the Faculty Handbook. The Provost noted the reviews will take place periodically and encouraged non-tenure-track faculty to speak to their department chair.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New Program Development</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Kaivola highlighted continued attention to growing--and possibly adding--programs in Rochester. She noted that the University Committee on Academic Programs (UCAP) is functioning smoothly and represents diverse voices from the faculty and staff. UCAP continues to review letters of intent and full proposals for program changes and new program offerings.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Leadership Searches</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Provost Kaivola noted that two national searches for administrative leadership will be launched soon, for a Dean of Professional Studies, and for a Dean of Global Education and Experience. The college hopes to initiate the searches this fall, with a goal of hiring individuals for these positions to start in the summer of 2017.</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Provost Kaivola opened the floor to questions, and there was a question about how graduate programs will fit into a university structure. Provost Kaivola responded that at present, the academic department is the primary unit of administrative structure for the programs, over which the respective Dean has authority and responsibility. Faculty appointed in departments with graduate programs teach across those boundaries. She noted that we do need an institutional office, location, or group that is thinking primarily about the graduate programs, asking what will best support excellence in the academic program and strengthen the faculty.</w:t>
        <w:br w:type="textWrapping"/>
      </w: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Faculty Senate Report</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Faculty Senate President, Doug Green invited questions on his report from 9 October 2016. Hearing no questions, Green highlighted three items:</w:t>
      </w:r>
    </w:p>
    <w:p w:rsidR="00000000" w:rsidDel="00000000" w:rsidP="00000000" w:rsidRDefault="00000000" w:rsidRPr="00000000">
      <w:pPr>
        <w:numPr>
          <w:ilvl w:val="0"/>
          <w:numId w:val="1"/>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was not downgraded by Moody’s investment. Green thanked Beth Reissenweber, Chief Financial Officer, for taking the Faculty Senate’s questions seriously.</w:t>
      </w:r>
    </w:p>
    <w:p w:rsidR="00000000" w:rsidDel="00000000" w:rsidP="00000000" w:rsidRDefault="00000000" w:rsidRPr="00000000">
      <w:pPr>
        <w:numPr>
          <w:ilvl w:val="0"/>
          <w:numId w:val="1"/>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encouraged faculty to volunteer to participate in the general education review process.</w:t>
      </w:r>
    </w:p>
    <w:p w:rsidR="00000000" w:rsidDel="00000000" w:rsidP="00000000" w:rsidRDefault="00000000" w:rsidRPr="00000000">
      <w:pPr>
        <w:numPr>
          <w:ilvl w:val="0"/>
          <w:numId w:val="1"/>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he noted that the Senate will continue to ask what the university name and structure question might mean for faculty.</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Academic Freedom</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A h</w:t>
      </w:r>
      <w:r w:rsidDel="00000000" w:rsidR="00000000" w:rsidRPr="00000000">
        <w:rPr>
          <w:rFonts w:ascii="Times New Roman" w:cs="Times New Roman" w:eastAsia="Times New Roman" w:hAnsi="Times New Roman"/>
          <w:sz w:val="24"/>
          <w:szCs w:val="24"/>
          <w:rtl w:val="0"/>
        </w:rPr>
        <w:t xml:space="preserve">andout was distributed with the meeting materials to remind faculty and staff of the upcoming event, “Why Academic Freedom Matters in the Classroom,” with Dr. Amna Khalid and Dr. Jeff Snyder on Thursday, November 17, from 11:30 - 1 p.m.</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He stated that the Faculty Senate received a letter regarding bias reporting, which is a policy issue. Green said that no one seems to be satisfied with the current process, and argued that bias reporting and academic freedom should be focused on fostering student learning.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Green referred back to the Faculty Handbook, section 2.3, noting that it is faculty’s responsibility to make sure that students are free to learn, as stated in the code of conduct. Green invited others to the floor for comments on academic freedom and the bias reporting process.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There was a robust discussion of the relationship between academic freedom and tenure; and the role that student learning outcomes play in the curriculum, and how much freedom or creativity such learning outcomes may or may not encourage. Faculty raised concerns about marginalized students being viewed as a problem to solve in these conversations, while also point to recent </w:t>
      </w:r>
      <w:r w:rsidDel="00000000" w:rsidR="00000000" w:rsidRPr="00000000">
        <w:rPr>
          <w:rFonts w:ascii="Times New Roman" w:cs="Times New Roman" w:eastAsia="Times New Roman" w:hAnsi="Times New Roman"/>
          <w:i w:val="1"/>
          <w:sz w:val="24"/>
          <w:szCs w:val="24"/>
          <w:rtl w:val="0"/>
        </w:rPr>
        <w:t xml:space="preserve">Chronicle </w:t>
      </w:r>
      <w:r w:rsidDel="00000000" w:rsidR="00000000" w:rsidRPr="00000000">
        <w:rPr>
          <w:rFonts w:ascii="Times New Roman" w:cs="Times New Roman" w:eastAsia="Times New Roman" w:hAnsi="Times New Roman"/>
          <w:sz w:val="24"/>
          <w:szCs w:val="24"/>
          <w:rtl w:val="0"/>
        </w:rPr>
        <w:t xml:space="preserve">articles and the Center for Teaching and Learning as resources for fostering constructive classroom dialogue about controversial or uncomfortable topics. Several faculty noted that students are ready and willing to have the conversation about bias, and that faculty should facilitate and encourage those conversations. Several faculty criticized the current bias reporting process, and other faculty raised questions about how to ensure that students know that their concerns are heard, while at the same time preserving the faculty’s role in challenging and pushing students. One faculty member pointed to the grievance process currently outlined in the Faculty Handbook as what should be followed. Professor Green thanked faculty for an engaging discussion, and encouraged attendance at the November 17 event on campus.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Report on the new Division of Student Success</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4"/>
          <w:szCs w:val="24"/>
          <w:rtl w:val="0"/>
        </w:rPr>
        <w:t xml:space="preserve">Catherine Bishop, Chief Student Success Officer, presented an update and purpose statement identifying how Augsburg College is encouraging and facilitating progress toward degree with the new division of student success. The division is meant to take existing student support offices and create a more holistic effort to meet student academic support needs and to understand how students make progress toward their degrees, and identify what barriers might exist to their doing so. Bishop shared data on first-year retention, credits attempted, earned, and cumulative GPA, and highlighted areas of focused work for the new division:</w:t>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Tactical Issues - Earning Credit</w:t>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Satisfactory Academic Progress (SAP)</w:t>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Withdrawal Policy</w:t>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P/N Grading</w:t>
      </w:r>
    </w:p>
    <w:p w:rsidR="00000000" w:rsidDel="00000000" w:rsidP="00000000" w:rsidRDefault="00000000" w:rsidRPr="00000000">
      <w:pPr>
        <w:numPr>
          <w:ilvl w:val="0"/>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Aid</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Adjourn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Provost Kaivola adjourned the meeting at 5:10 p.m.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Respectfully submitted,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Jolee Lilja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MAL Program Coordinator</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lef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lef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left"/>
      <w:pPr>
        <w:ind w:left="7200" w:firstLine="6840"/>
      </w:pPr>
      <w:rPr>
        <w:u w:val="none"/>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lef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lef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left"/>
      <w:pPr>
        <w:ind w:left="7200" w:firstLine="684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