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Augsburg College </w:t>
      </w:r>
      <w:r w:rsidDel="00000000" w:rsidR="00000000" w:rsidRPr="00000000">
        <w:rPr>
          <w:b w:val="1"/>
          <w:sz w:val="20"/>
          <w:szCs w:val="20"/>
          <w:rtl w:val="0"/>
        </w:rPr>
        <w:t xml:space="preserve">Faculty Meeting Minutes</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Thursday 24 March 2016, 3:40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Hoversten Chapel, Augsburg College</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Provost Karen Kaivola called the meeting to order at 3:44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First Word</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John Schmit, professor of English, gave the First Word.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Approval of Minutes</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Faculty Meeting Minutes from 18 February 2016 were presented and approved.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Approval of Agenda</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meeting’s Agenda was presented and approved.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Announcements</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Jacqueline deVries, professor of history and director of General Education, directed the faculty’s attention to the printed update on Gen Ed and assessment, including a Focused Conversation event scheduled for the following week.  She also said there were stipends available for interested faculty to meet during the month of May to help develop “signature assignments” for each department, ones that students will complete in their junior or senior year.  Such assignments, she said, would serve both as an accomplishment for the student and an assessment of Augsburg’s teaching and learning.</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Provost’s Report</w:t>
      </w:r>
      <w:r w:rsidDel="00000000" w:rsidR="00000000" w:rsidRPr="00000000">
        <w:rPr>
          <w:sz w:val="20"/>
          <w:szCs w:val="20"/>
          <w:rtl w:val="0"/>
        </w:rPr>
        <w:t xml:space="preserve"> | Karen Kaivola</w:t>
      </w:r>
    </w:p>
    <w:p w:rsidR="00000000" w:rsidDel="00000000" w:rsidP="00000000" w:rsidRDefault="00000000" w:rsidRPr="00000000">
      <w:pPr>
        <w:tabs>
          <w:tab w:val="left" w:pos="360"/>
        </w:tabs>
        <w:spacing w:line="276" w:lineRule="auto"/>
        <w:ind w:firstLine="720"/>
        <w:contextualSpacing w:val="0"/>
      </w:pPr>
      <w:r w:rsidDel="00000000" w:rsidR="00000000" w:rsidRPr="00000000">
        <w:rPr>
          <w:b w:val="1"/>
          <w:sz w:val="20"/>
          <w:szCs w:val="20"/>
          <w:rtl w:val="0"/>
        </w:rPr>
        <w:t xml:space="preserve">Structural implications of the ‘university conversation.’</w:t>
      </w:r>
      <w:r w:rsidDel="00000000" w:rsidR="00000000" w:rsidRPr="00000000">
        <w:rPr>
          <w:sz w:val="20"/>
          <w:szCs w:val="20"/>
          <w:rtl w:val="0"/>
        </w:rPr>
        <w:t xml:space="preserve">  Provost Kaivola said that faculty engagement was very important to the ongoing discussion of Augsburg’s identity as a college or a university.  She noted that the Board of Regents has separated “the name issue from the structural one,” and discussed the former at its recent retreat (information about the 11 March retreat is available on the Faculty Senate Moodle site).  She invited faculty to weigh in on the structural side, emphasizing that establishing guiding principles was paramount, and that any change in Augsburg’s structure (or affirmation of its current structure) “should improve faculty teaching and student learning. … We need to think about who we are and what we want to become.”  </w:t>
      </w:r>
      <w:r w:rsidDel="00000000" w:rsidR="00000000" w:rsidRPr="00000000">
        <w:rPr>
          <w:sz w:val="20"/>
          <w:szCs w:val="20"/>
          <w:rtl w:val="0"/>
        </w:rPr>
        <w:t xml:space="preserve">Four principles should inform Augsburg’s future structure, the Provost said:  Continuing the practice of shared governance; minimizing “administrative bloat”; remaining mindful of implications for faculty workload; and examining how resources are distributed across campus.  Augsburg’s current structure, which distinguishes between undergraduate and professional programs, supports certain ways of understanding the world.  She posited different ways of slicing this putative pie according to current data:  Professional studies account for 38 percent of Augsburg’s full-time faculty, and 40 percent of student credit hours, but 60 percent of students by major.  Moreover, the Provost said, if the distinction between “college” and “university” is not a clear-cut one, nor is there consistency across different institutions with regard to the underlying logic of how structural divisions are named within a university structure (“schools”? “departments”? “centers”? “offices”?).</w:t>
      </w:r>
    </w:p>
    <w:p w:rsidR="00000000" w:rsidDel="00000000" w:rsidP="00000000" w:rsidRDefault="00000000" w:rsidRPr="00000000">
      <w:pPr>
        <w:tabs>
          <w:tab w:val="left" w:pos="360"/>
        </w:tabs>
        <w:spacing w:line="276" w:lineRule="auto"/>
        <w:ind w:firstLine="720"/>
        <w:contextualSpacing w:val="0"/>
      </w:pPr>
      <w:r w:rsidDel="00000000" w:rsidR="00000000" w:rsidRPr="00000000">
        <w:rPr>
          <w:rtl w:val="0"/>
        </w:rPr>
      </w:r>
    </w:p>
    <w:p w:rsidR="00000000" w:rsidDel="00000000" w:rsidP="00000000" w:rsidRDefault="00000000" w:rsidRPr="00000000">
      <w:pPr>
        <w:tabs>
          <w:tab w:val="left" w:pos="360"/>
        </w:tabs>
        <w:spacing w:line="276" w:lineRule="auto"/>
        <w:ind w:firstLine="720"/>
        <w:contextualSpacing w:val="0"/>
      </w:pPr>
      <w:r w:rsidDel="00000000" w:rsidR="00000000" w:rsidRPr="00000000">
        <w:rPr>
          <w:b w:val="1"/>
          <w:sz w:val="20"/>
          <w:szCs w:val="20"/>
          <w:rtl w:val="0"/>
        </w:rPr>
        <w:t xml:space="preserve">Faculty engagement in strategic growth initiatives</w:t>
      </w:r>
      <w:r w:rsidDel="00000000" w:rsidR="00000000" w:rsidRPr="00000000">
        <w:rPr>
          <w:sz w:val="20"/>
          <w:szCs w:val="20"/>
          <w:rtl w:val="0"/>
        </w:rPr>
        <w:t xml:space="preserve">.  The Provost referred to the summary, “Academic Focus and Curricular Priorities,” by Joseph Underhill, associate professor of political science, available at </w:t>
      </w:r>
      <w:hyperlink r:id="rId5">
        <w:r w:rsidDel="00000000" w:rsidR="00000000" w:rsidRPr="00000000">
          <w:rPr>
            <w:color w:val="1155cc"/>
            <w:sz w:val="20"/>
            <w:szCs w:val="20"/>
            <w:u w:val="single"/>
            <w:rtl w:val="0"/>
          </w:rPr>
          <w:t xml:space="preserve">http://web.augsburg.edu/academicaffairs/3-24FacultyMeeting/</w:t>
        </w:r>
      </w:hyperlink>
      <w:r w:rsidDel="00000000" w:rsidR="00000000" w:rsidRPr="00000000">
        <w:rPr>
          <w:sz w:val="20"/>
          <w:szCs w:val="20"/>
          <w:rtl w:val="0"/>
        </w:rPr>
        <w:t xml:space="preserve">.  The document compiles</w:t>
      </w:r>
      <w:r w:rsidDel="00000000" w:rsidR="00000000" w:rsidRPr="00000000">
        <w:rPr>
          <w:sz w:val="20"/>
          <w:szCs w:val="20"/>
          <w:rtl w:val="0"/>
        </w:rPr>
        <w:t xml:space="preserve"> strategies that have been named by the Provost and others to support Augsburg’s potential growth and clarity about the distinctiveness of its academic program--it invites faculty leadership.  Areas included in this document include:  the Adult Undergraduate program; our traditional commitment to experiential learning; next year’s growing Family Nurse Practitioner cohort; the possibility of a non-licensure track in the Education program; the Rochester campus; and achieving a more sustainable academic margin” without moving away from “the signature experiences that define an Augsburg curriculum.”</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Faculty Senate Report</w:t>
      </w:r>
      <w:r w:rsidDel="00000000" w:rsidR="00000000" w:rsidRPr="00000000">
        <w:rPr>
          <w:sz w:val="20"/>
          <w:szCs w:val="20"/>
          <w:rtl w:val="0"/>
        </w:rPr>
        <w:t xml:space="preserve"> | Joan Kunz</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Joan Kunz, associate professor of chemistry, gave the Faculty Senate Report in place of professor of English (and Senate Chair) Douglas Green, who was away at a professional conference.  The report included a discussion of the possibility of making the ACT college-entrance exam optional for students applying to Augsburg; Prof. Kunz invited those with strong opinions on this matter to contact a faculty senator.  She emphasized that all Faculty Senate meetings are open to observers, and she especially invited anyone interested to attend the next one, on 30 March, which was to be a joint meeting with the President’s leadership team.  She also said that the issue of how Augsburg might respond in the event of an active threat on campus has been raised by John Cerrito, assistant professor of business, and it will be partly addressed in a training session scheduled for the afternoon of 20 April.</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firstLine="720"/>
        <w:contextualSpacing w:val="0"/>
      </w:pPr>
      <w:r w:rsidDel="00000000" w:rsidR="00000000" w:rsidRPr="00000000">
        <w:rPr>
          <w:b w:val="1"/>
          <w:sz w:val="20"/>
          <w:szCs w:val="20"/>
          <w:rtl w:val="0"/>
        </w:rPr>
        <w:t xml:space="preserve">Status report of the Committee on Tenure and Promotion and the Faculty Personnel Policies Committee.  </w:t>
      </w:r>
      <w:r w:rsidDel="00000000" w:rsidR="00000000" w:rsidRPr="00000000">
        <w:rPr>
          <w:sz w:val="20"/>
          <w:szCs w:val="20"/>
          <w:rtl w:val="0"/>
        </w:rPr>
        <w:t xml:space="preserve">David Matz, professor of psychology, briefly reported on recently discussed issues surrounding tenure and promotion, including the size of departmental review committees, CTP’s role if a faculty member is hired with tenure, and a planned portfolio workshop to help faculty candidates with tenure review.</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ind w:firstLine="720"/>
        <w:contextualSpacing w:val="0"/>
      </w:pPr>
      <w:r w:rsidDel="00000000" w:rsidR="00000000" w:rsidRPr="00000000">
        <w:rPr>
          <w:b w:val="1"/>
          <w:sz w:val="20"/>
          <w:szCs w:val="20"/>
          <w:rtl w:val="0"/>
        </w:rPr>
        <w:t xml:space="preserve">Faculty Compensation Committee:  recommendations regarding compensation.  </w:t>
      </w:r>
      <w:r w:rsidDel="00000000" w:rsidR="00000000" w:rsidRPr="00000000">
        <w:rPr>
          <w:sz w:val="20"/>
          <w:szCs w:val="20"/>
          <w:rtl w:val="0"/>
        </w:rPr>
        <w:t xml:space="preserve">Jeanne Boeh, professor of business, reported on the committee’s efforts to bring faculty salaries, including those of adjunct professors, in line with local and regional benchmarks.  She noted that the unionization of faculty at Hamline, and discussions of a union at St. Thomas, have affected salaries at our “sister schools”; the average compensation for an adjunct class among many Twin Cities institutions is now $5,000.  She pointed out that “there is not just one kind of adjunct” at Augsburg.  Some adjunct instructors at Augsburg, mostly in the humanities, make a living through part-time teaching, but others, mostly in business and education, work full-time in other professions and teach on the side.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       </w:t>
        <w:tab/>
        <w:t xml:space="preserve">The committee proposes, as “a goal to strive for,” that adjuncts with a terminal degree be paid $4,900 per class, and those without a terminal degree be paid $4,700.  The Provost is modeling what additional resources would be required if we were to lift adjunct salaries incrementally over several years, moving to $4,500 and $4,250 in the first year and applying--as a general principle--our compensation philosophy, which tracks salaries relative to medians.  In terms of non-salary ways to make adjuncts feel welcome and improve their working conditions, the committee is looking into such possibilities as tuition remission for one undergraduate class per term; a policy of providing class-cancellation notice and pay; access to short-term parking (Music adjunct faculty, in particular, often need to park for just an hour or two); and office space.  They are also working to publicize existing Augsburg benefits that adjunct faculty may not know about, such as the fact that they are permitted to set up and contribute to a TIAA retirement account (with their own money).</w:t>
      </w:r>
    </w:p>
    <w:p w:rsidR="00000000" w:rsidDel="00000000" w:rsidP="00000000" w:rsidRDefault="00000000" w:rsidRPr="00000000">
      <w:pPr>
        <w:tabs>
          <w:tab w:val="left" w:pos="360"/>
        </w:tabs>
        <w:spacing w:line="276" w:lineRule="auto"/>
        <w:ind w:left="0" w:firstLine="720"/>
        <w:contextualSpacing w:val="0"/>
      </w:pPr>
      <w:r w:rsidDel="00000000" w:rsidR="00000000" w:rsidRPr="00000000">
        <w:rPr>
          <w:sz w:val="20"/>
          <w:szCs w:val="20"/>
          <w:rtl w:val="0"/>
        </w:rPr>
        <w:t xml:space="preserve">Responding to Prof. Boeh’s invitation for questions, one faculty member asked if any adjuncts have indicated that they would like more contact with the full-time members of their departments.  Prof. Boeh responded that some of those who teach evening classes, especially, say they would like to feel more connected to day faculty.  Another professor, citing her work with the American Association of University Professors (AAUP) on this issue, asked about the current practice of pro-rating adjunct pay to the number of enrolled students in a class, if it falls below a set minimum.  She pointed out that this does not take into account the amount of work required to create a class, independent of the number of students in it.  Provost Kaivola said that usually we cancel courses for low-enrollment that fall below a minimum number (8 or 10 students); sometimes we offer adjuncts the option of offering the course as an independent study or tutorial, especially if a course is required for a major.  Another observation came from a professor who said that, in the adjunct hiring process, she frequently loses candidates at the last minute because they get a higher-paying offer from the University of Minnesota; “I know we’re in a different [pay] category, but because of proximity, we’re in direct competition.”</w:t>
      </w:r>
    </w:p>
    <w:p w:rsidR="00000000" w:rsidDel="00000000" w:rsidP="00000000" w:rsidRDefault="00000000" w:rsidRPr="00000000">
      <w:pPr>
        <w:tabs>
          <w:tab w:val="left" w:pos="360"/>
        </w:tabs>
        <w:spacing w:line="276" w:lineRule="auto"/>
        <w:ind w:left="0" w:firstLine="720"/>
        <w:contextualSpacing w:val="0"/>
      </w:pPr>
      <w:r w:rsidDel="00000000" w:rsidR="00000000" w:rsidRPr="00000000">
        <w:rPr>
          <w:sz w:val="20"/>
          <w:szCs w:val="20"/>
          <w:rtl w:val="0"/>
        </w:rPr>
        <w:t xml:space="preserve">Provost Kaivola said that although the budget realities of the coming year mean that there are currently “more requests than resources,” both she and Chief Financial Officer Beth Reissenweber agree that increasing adjunct pay “is a high priority.”</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Advising Task Force presentation and discussion | Catherine Bishop and Bridget Robinson-Riegler</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Academic advising has emerged front and center in discussions of student retention and graduation, said Catherine Bishop, chief student success officer.  She co-chairs the Advising Task Force, along with Bridget Robinson-Riegler, professor of psychology; it has been meeting since September.  Here they presented a draft proposal to address the advising issues the task force has found.  Proposed is a team-based approach, with different advising duties taken on over a student’s four years by a faculty member (who would serve as a mentor and provide a “home” in their major), a staff member (who would help with course planning and progress toward graduation), and a financial services staff member.  A student’s first year would be very “process-oriented,” they said; the second year would be a transition into faculty mentorship.</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plan is to revise the proposal based on public feedback over the summer, finalize it in September, and implement it October through December of this year.</w:t>
      </w:r>
    </w:p>
    <w:p w:rsidR="00000000" w:rsidDel="00000000" w:rsidP="00000000" w:rsidRDefault="00000000" w:rsidRPr="00000000">
      <w:pPr>
        <w:tabs>
          <w:tab w:val="left" w:pos="720"/>
        </w:tabs>
        <w:spacing w:line="276" w:lineRule="auto"/>
        <w:contextualSpacing w:val="0"/>
      </w:pPr>
      <w:r w:rsidDel="00000000" w:rsidR="00000000" w:rsidRPr="00000000">
        <w:rPr>
          <w:sz w:val="20"/>
          <w:szCs w:val="20"/>
          <w:rtl w:val="0"/>
        </w:rPr>
        <w:tab/>
        <w:t xml:space="preserve">Officer Bishop described the task force’s process, which began with the two places in the Faculty Handbook (</w:t>
      </w:r>
      <w:hyperlink r:id="rId6">
        <w:r w:rsidDel="00000000" w:rsidR="00000000" w:rsidRPr="00000000">
          <w:rPr>
            <w:color w:val="1155cc"/>
            <w:sz w:val="20"/>
            <w:szCs w:val="20"/>
            <w:u w:val="single"/>
            <w:rtl w:val="0"/>
          </w:rPr>
          <w:t xml:space="preserve">https://goo.gl/lHDRRX</w:t>
        </w:r>
      </w:hyperlink>
      <w:r w:rsidDel="00000000" w:rsidR="00000000" w:rsidRPr="00000000">
        <w:rPr>
          <w:sz w:val="20"/>
          <w:szCs w:val="20"/>
          <w:rtl w:val="0"/>
        </w:rPr>
        <w:t xml:space="preserve">) that mention academic advising:  Section 3.2.10 and Section 6.3.3.  They then took a hard look at data, including the number of students retained into their senior year at Augsburg, and the number graduating in four years.  Fully 25 percent of “retained” seniors did not graduate in May, many for reasons such as withdrawing from a required class.  Other causes of “near graduation” were a short credit load, missing a course required for their major, failing to take the Augsburg Experience course, or failing to take a language course.</w:t>
      </w:r>
    </w:p>
    <w:p w:rsidR="00000000" w:rsidDel="00000000" w:rsidP="00000000" w:rsidRDefault="00000000" w:rsidRPr="00000000">
      <w:pPr>
        <w:tabs>
          <w:tab w:val="left" w:pos="720"/>
        </w:tabs>
        <w:spacing w:line="276" w:lineRule="auto"/>
        <w:contextualSpacing w:val="0"/>
      </w:pPr>
      <w:r w:rsidDel="00000000" w:rsidR="00000000" w:rsidRPr="00000000">
        <w:rPr>
          <w:sz w:val="20"/>
          <w:szCs w:val="20"/>
          <w:rtl w:val="0"/>
        </w:rPr>
        <w:tab/>
        <w:t xml:space="preserve">“This feels like a systemic problem to me,” Officer Bishop said.  Students lose financial aid after their fourth year, making an extra semester or two very expensive.  The problem’s root cause, the task force believes, is a lack of explicit outcomes for students.  Also missing is accountability for their academic advisors, who are not currently trained to monitor the number of credits (32) that a student needs every year to stay on track for graduation, let alone measure how well they as advisors meet this goal.  Furthermore, the faculty advising load is unevenly distributed — some professors have up to 90 students, others only a handful — and divisions don’t routinely share communication.  An advisor who tells a student to talk to a financial-aid officer doesn’t typically follow up with that office.  In Officer Bishop’s words, “This is not an effective handoff procedure. … We need to know that that student got the information they needed.”  Her final slide asked, “Do we have the right outcomes?”</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Feedback was invited, and a lively discussion ensued.  One professor pointed out that “we don’t have a process for advising a student out of a major that they’re failing” — for example, a student who waits till senior year to declare a Business major, when it is virtually impossible to complete the mathematics prerequisites for many courses in that major.  (Prof. Boeh said the Business department had recently changed its policy, now requiring majors to have taken an upper-level math class before they declare Business as a major.)  Another professor commented on the “fragility” of many of his advisees, and suggested “a distinction between advising problems that can be solved systemically, and those that involve the gestalt of the student.”  A third said she had “a big concern about transfer students,” who now do not get academic advising unless they ask for it; Officer Bishop said that she would urge revision of the policy that keeps transfer students and adult undergraduates out of the advising loop.  It was pointed out, as well, that evening students are offered very limited services, and adult students tend to use what services they have differently from traditional undergraduates.  A professor who asked for a “clean, efficient way to track students” and their progress toward graduation was told that a new software solution was on the horizon, but meanwhile a series of shared Google documents was being developed that could help with this challenge.  It was asked if the proposed advising system might lead to a “learned dependence” where students took less responsibility for their own education; Officer Bishop said that retaining student empowerment was a prime goal of the task force.</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Open Forum</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Provost invited comments and discussion for the Open Forum, and one professor expressed his pleasure that this venue existed — but no one brought forth a new topic or question.</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Adjourn</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Provost adjourned the meeting at 5:09 p.m.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Respectfully submitted,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Rebecca Ganzel</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Cataloging and Metadata Librarian, Lindell Library</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Access an online version of this document:  https://goo.gl/NyCcYv</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Link to Academic Affairs’ Apache server site for this meeting:  </w:t>
      </w:r>
      <w:hyperlink r:id="rId7">
        <w:r w:rsidDel="00000000" w:rsidR="00000000" w:rsidRPr="00000000">
          <w:rPr>
            <w:i w:val="1"/>
            <w:color w:val="1155cc"/>
            <w:sz w:val="20"/>
            <w:szCs w:val="20"/>
            <w:u w:val="single"/>
            <w:rtl w:val="0"/>
          </w:rPr>
          <w:t xml:space="preserve">http://web.augsburg.edu/academicaffairs/3-24FacultyMeeting/</w:t>
        </w:r>
      </w:hyperlink>
      <w:r w:rsidDel="00000000" w:rsidR="00000000" w:rsidRPr="00000000">
        <w:rPr>
          <w:rtl w:val="0"/>
        </w:rPr>
      </w:r>
    </w:p>
    <w:sectPr>
      <w:foot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Arial" w:cs="Arial" w:eastAsia="Arial" w:hAnsi="Arial"/>
        <w:b w:val="0"/>
        <w:sz w:val="16"/>
        <w:szCs w:val="16"/>
        <w:rtl w:val="0"/>
      </w:rPr>
      <w:t xml:space="preserve">RG |</w:t>
    </w:r>
    <w:r w:rsidDel="00000000" w:rsidR="00000000" w:rsidRPr="00000000">
      <w:rPr>
        <w:sz w:val="16"/>
        <w:szCs w:val="16"/>
        <w:rtl w:val="0"/>
      </w:rPr>
      <w:t xml:space="preserve"> </w:t>
    </w:r>
    <w:r w:rsidDel="00000000" w:rsidR="00000000" w:rsidRPr="00000000">
      <w:rPr>
        <w:rFonts w:ascii="Arial" w:cs="Arial" w:eastAsia="Arial" w:hAnsi="Arial"/>
        <w:b w:val="0"/>
        <w:sz w:val="16"/>
        <w:szCs w:val="16"/>
        <w:rtl w:val="0"/>
      </w:rPr>
      <w:t xml:space="preserve">Faculty meeting minutes 20</w:t>
    </w:r>
    <w:r w:rsidDel="00000000" w:rsidR="00000000" w:rsidRPr="00000000">
      <w:rPr>
        <w:sz w:val="16"/>
        <w:szCs w:val="16"/>
        <w:rtl w:val="0"/>
      </w:rPr>
      <w:t xml:space="preserve">16</w:t>
    </w:r>
    <w:r w:rsidDel="00000000" w:rsidR="00000000" w:rsidRPr="00000000">
      <w:rPr>
        <w:rFonts w:ascii="Arial" w:cs="Arial" w:eastAsia="Arial" w:hAnsi="Arial"/>
        <w:b w:val="0"/>
        <w:sz w:val="16"/>
        <w:szCs w:val="16"/>
        <w:rtl w:val="0"/>
      </w:rPr>
      <w:t xml:space="preserve">-</w:t>
    </w:r>
    <w:r w:rsidDel="00000000" w:rsidR="00000000" w:rsidRPr="00000000">
      <w:rPr>
        <w:sz w:val="16"/>
        <w:szCs w:val="16"/>
        <w:rtl w:val="0"/>
      </w:rPr>
      <w:t xml:space="preserve">03-24</w:t>
    </w:r>
    <w:r w:rsidDel="00000000" w:rsidR="00000000" w:rsidRPr="00000000">
      <w:rPr>
        <w:rFonts w:ascii="Arial" w:cs="Arial" w:eastAsia="Arial" w:hAnsi="Arial"/>
        <w:b w:val="0"/>
        <w:sz w:val="16"/>
        <w:szCs w:val="16"/>
        <w:rtl w:val="0"/>
      </w:rPr>
      <w:t xml:space="preserve"> | </w:t>
    </w:r>
    <w:r w:rsidDel="00000000" w:rsidR="00000000" w:rsidRPr="00000000">
      <w:rPr>
        <w:sz w:val="16"/>
        <w:szCs w:val="16"/>
        <w:rtl w:val="0"/>
      </w:rPr>
      <w:t xml:space="preserve">24 March 2016 | https://goo.gl/NyCcYv</w:t>
    </w:r>
    <w:r w:rsidDel="00000000" w:rsidR="00000000" w:rsidRPr="00000000">
      <w:rPr>
        <w:rFonts w:ascii="Arial" w:cs="Arial" w:eastAsia="Arial" w:hAnsi="Arial"/>
        <w:b w:val="0"/>
        <w:sz w:val="16"/>
        <w:szCs w:val="16"/>
        <w:rtl w:val="0"/>
      </w:rPr>
      <w:tab/>
      <w:t xml:space="preserve">page </w:t>
    </w:r>
    <w:fldSimple w:instr="PAGE" w:fldLock="0" w:dirty="0">
      <w:r w:rsidDel="00000000" w:rsidR="00000000" w:rsidRPr="00000000">
        <w:rPr>
          <w:rFonts w:ascii="Arial" w:cs="Arial" w:eastAsia="Arial" w:hAnsi="Arial"/>
          <w:b w:val="0"/>
          <w:sz w:val="16"/>
          <w:szCs w:val="16"/>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eb.augsburg.edu/academicaffairs/3-24FacultyMeeting/" TargetMode="External"/><Relationship Id="rId6" Type="http://schemas.openxmlformats.org/officeDocument/2006/relationships/hyperlink" Target="https://goo.gl/lHDRRX" TargetMode="External"/><Relationship Id="rId7" Type="http://schemas.openxmlformats.org/officeDocument/2006/relationships/hyperlink" Target="http://web.augsburg.edu/academicaffairs/3-24FacultyMeeting/" TargetMode="External"/><Relationship Id="rId8" Type="http://schemas.openxmlformats.org/officeDocument/2006/relationships/footer" Target="footer1.xml"/></Relationships>
</file>