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Augsburg College </w:t>
      </w:r>
      <w:r w:rsidDel="00000000" w:rsidR="00000000" w:rsidRPr="00000000">
        <w:rPr>
          <w:b w:val="1"/>
          <w:sz w:val="20"/>
          <w:szCs w:val="20"/>
          <w:rtl w:val="0"/>
        </w:rPr>
        <w:t xml:space="preserve">Faculty Meeting Minutes</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Thursday 15 October 2015, 3:40 p.m.</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Foss Chapel, Augsburg College</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Provost Karen Kaivola called the meeting to order at 3:40 p.m.</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First Word (3:40 p.m.)</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Vivian Feng, associate professor of chemistry, gave the First Word.</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Approval of Minutes</w:t>
      </w:r>
    </w:p>
    <w:p w:rsidR="00000000" w:rsidDel="00000000" w:rsidP="00000000" w:rsidRDefault="00000000" w:rsidRPr="00000000">
      <w:pPr>
        <w:tabs>
          <w:tab w:val="left" w:pos="360"/>
        </w:tabs>
        <w:spacing w:line="331.2" w:lineRule="auto"/>
        <w:contextualSpacing w:val="0"/>
      </w:pPr>
      <w:r w:rsidDel="00000000" w:rsidR="00000000" w:rsidRPr="00000000">
        <w:rPr>
          <w:sz w:val="20"/>
          <w:szCs w:val="20"/>
          <w:rtl w:val="0"/>
        </w:rPr>
        <w:t xml:space="preserve">The Faculty Meeting Minutes from 17 September 2015 were presented and approved.</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Approval of Agenda</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The meeting’s Agenda was presented and approved.</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Announcements</w:t>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Sophomore Retreat.</w:t>
      </w:r>
      <w:r w:rsidDel="00000000" w:rsidR="00000000" w:rsidRPr="00000000">
        <w:rPr>
          <w:sz w:val="20"/>
          <w:szCs w:val="20"/>
          <w:rtl w:val="0"/>
        </w:rPr>
        <w:t xml:space="preserve">  Matthew Maruggi, assistant professor of religion, and Margaret Heier, assistant director of career and internship services, announced the college’s first sophomore retreat.  Designed to give what they called “a little boost” to sophomore students, the day-long event is intended to continue the support that first-year students get with such programs as AugSem and SOAR (Summer Orientation and Registration).  The free retreat will be held Sunday 31 January, with room for 40 second-year students.  Faculty members were invited to spread the word, nominate students (applications were to open on Monday), and visit the event’s Web page, </w:t>
      </w:r>
      <w:hyperlink r:id="rId5">
        <w:r w:rsidDel="00000000" w:rsidR="00000000" w:rsidRPr="00000000">
          <w:rPr>
            <w:color w:val="1155cc"/>
            <w:sz w:val="20"/>
            <w:szCs w:val="20"/>
            <w:u w:val="single"/>
            <w:rtl w:val="0"/>
          </w:rPr>
          <w:t xml:space="preserve">http://www.augsburg.edu/strommen/2015/10/09/sophomore-retreat/</w:t>
        </w:r>
      </w:hyperlink>
      <w:r w:rsidDel="00000000" w:rsidR="00000000" w:rsidRPr="00000000">
        <w:rPr>
          <w:sz w:val="20"/>
          <w:szCs w:val="20"/>
          <w:rtl w:val="0"/>
        </w:rPr>
        <w:t xml:space="preserve">.  </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Center for Teaching and Learning.</w:t>
      </w:r>
      <w:r w:rsidDel="00000000" w:rsidR="00000000" w:rsidRPr="00000000">
        <w:rPr>
          <w:sz w:val="20"/>
          <w:szCs w:val="20"/>
          <w:rtl w:val="0"/>
        </w:rPr>
        <w:t xml:space="preserve">  Timothy Pippert, associate professor of sociology, called faculty members’ attention to the Center for Teaching and Learning (CTL) events listed on a handout provided at the meeting, and also at the </w:t>
      </w:r>
      <w:hyperlink r:id="rId6">
        <w:r w:rsidDel="00000000" w:rsidR="00000000" w:rsidRPr="00000000">
          <w:rPr>
            <w:color w:val="1155cc"/>
            <w:sz w:val="20"/>
            <w:szCs w:val="20"/>
            <w:u w:val="single"/>
            <w:rtl w:val="0"/>
          </w:rPr>
          <w:t xml:space="preserve">http://inside.augsburg.edu/ctl/</w:t>
        </w:r>
      </w:hyperlink>
      <w:r w:rsidDel="00000000" w:rsidR="00000000" w:rsidRPr="00000000">
        <w:rPr>
          <w:sz w:val="20"/>
          <w:szCs w:val="20"/>
          <w:rtl w:val="0"/>
        </w:rPr>
        <w:t xml:space="preserve"> Web page.  He mentioned the 26 October demonstration of a new “Swivl” camera that can be checked out and used to record one’s own classroom teaching — useful both for peer observations and for preparing presentations — but he especially wanted to highlight a new CTL program for faculty development.  The Classroom Consultant Program involves trained peer observers who provide nonjudgmental support for teaching effectiveness “based on your needs,” Prof. Pippert said. Observations are confidential and are not part of formal faculty promotion and review.  The program is open to any faculty member (tenured, tenure-track, adjunct, non-tenured) who requests the service; click on the “Classroom Consulting” tab on the CTL Web site for more information.  </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Provost’s Report</w:t>
      </w:r>
      <w:r w:rsidDel="00000000" w:rsidR="00000000" w:rsidRPr="00000000">
        <w:rPr>
          <w:sz w:val="20"/>
          <w:szCs w:val="20"/>
          <w:rtl w:val="0"/>
        </w:rPr>
        <w:t xml:space="preserve"> | Karen Kaivola</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Noting that the Board of Regents had met on campus the previous week, Provost Kaivola spoke about the presentation on assessment to the Academic Affairs Committee and the recent inclusion of data from rubric-based assessments of learning outcomes at Augsburg.  We also participate in the Collegiate Learning Assessment (CLA), a “low-stakes” standardized test, on which Augsburg undergraduate students do not score as highly as expected in quantitative reasoning.  This--together with results from direct faculty assessment of student work--raises questions about the curriculum and how we teach quantitative reasoning to students, the Provost said.  Another assessment found that juniors out-perform sophomores and seniors in oral-communication skills; one possible interpretation is that the junior group included a high number of our URGO (Undergraduate Research and Graduate Opportunity) students.  The Assessment Committee is charged with reviewing learning outcomes like these and crafting a response to them.</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With regard to the question of changing Augsburg’s name to “Augsburg University,” the Provost said she had been asked if this was “a done deal.”  She responded, “I want to dissuade you of that thought, and persuade you that your participation matters.”  She presented the following numbers from </w:t>
      </w:r>
      <w:r w:rsidDel="00000000" w:rsidR="00000000" w:rsidRPr="00000000">
        <w:rPr>
          <w:i w:val="1"/>
          <w:sz w:val="20"/>
          <w:szCs w:val="20"/>
          <w:rtl w:val="0"/>
        </w:rPr>
        <w:t xml:space="preserve">U.S. News &amp; World Report</w:t>
      </w:r>
      <w:r w:rsidDel="00000000" w:rsidR="00000000" w:rsidRPr="00000000">
        <w:rPr>
          <w:sz w:val="20"/>
          <w:szCs w:val="20"/>
          <w:rtl w:val="0"/>
        </w:rPr>
        <w:t xml:space="preserve">:  Of the top 60 national liberal-arts colleges, 25 percent use “university.”  Of the top 60 national universities, 5 percent use “college.”  Of the top 60 Midwest regional universities, 10 percent use “college.”  And of all the institutions classified as Midwest regional colleges, 50 percent use “university.”</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Her point is that the words “college” and “university” have a wide range of meanings.  What matters more than the name is how we think of ourselves as an institution -- and whether we are structured to do our best work.  Over the next several months, the Provost will partner with Faculty Senate to create a process for faculty input and involvement with this question.</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The Provost invited questions.  One faculty member said that he had heard that the reason Boston College did not change its name to “Boston University” was that there was already an institution with this name; similarly, there is already an “Augsburg University.”  (The Provost noted that the official name of this German institution translates to “University of Augsburg.”)  Another professor spoke with passion about the College of William and Mary’s decision to stay with “college” in the late 1980s; the faculty there, he said, successfully argued that the original name marked the central position of its undergraduate program.  “The symbolism is as important as the structure,” he said.</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Faculty Senate Report</w:t>
      </w:r>
      <w:r w:rsidDel="00000000" w:rsidR="00000000" w:rsidRPr="00000000">
        <w:rPr>
          <w:sz w:val="20"/>
          <w:szCs w:val="20"/>
          <w:rtl w:val="0"/>
        </w:rPr>
        <w:t xml:space="preserve"> | William Green</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“The central topic today is the issue of University Council representation,” said William Green, professor of history.  As described in the September meeting’s minutes, University Council (UC) will replace the President’s Cabinet as a deliberative body starting in January 2016.  For the purposes of this meeting, Prof. Green said, the Faculty Senate has deliberately “disaggregated” the topic of UC from two related developments--(1) the proposed transition from the Committee on Academic Planning (CAP), which has been an ad hoc subcommittee of the Faculty Senate since 2009, to a “UCAP” committee, a joint committee of the faculty and the administration, and (2) the broader question of becoming a university.  After the Parliamentarian’s Report, the Senate planned to ask the faculty to nominate four tenured faculty members to serve staggered terms on UC.</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Committee Reports</w:t>
      </w: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Written reports from the Academic Affairs Committee (AAC) and Graduate Academic Affairs Committee (GAAC) were distributed with the agenda for this meeting, and are available on the Academic Affairs Moodle site, </w:t>
      </w:r>
      <w:hyperlink r:id="rId7">
        <w:r w:rsidDel="00000000" w:rsidR="00000000" w:rsidRPr="00000000">
          <w:rPr>
            <w:color w:val="1155cc"/>
            <w:sz w:val="20"/>
            <w:szCs w:val="20"/>
            <w:u w:val="single"/>
            <w:rtl w:val="0"/>
          </w:rPr>
          <w:t xml:space="preserve">https://moodle.augsburg.edu/</w:t>
        </w:r>
      </w:hyperlink>
      <w:r w:rsidDel="00000000" w:rsidR="00000000" w:rsidRPr="00000000">
        <w:rPr>
          <w:sz w:val="20"/>
          <w:szCs w:val="20"/>
          <w:rtl w:val="0"/>
        </w:rPr>
        <w:t xml:space="preserve">.  Among other things, both committees are recommending a pre–Labor Day start for classes in fall 2016.</w:t>
      </w: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Parliamentarian’s Report</w:t>
      </w:r>
      <w:r w:rsidDel="00000000" w:rsidR="00000000" w:rsidRPr="00000000">
        <w:rPr>
          <w:sz w:val="20"/>
          <w:szCs w:val="20"/>
          <w:rtl w:val="0"/>
        </w:rPr>
        <w:t xml:space="preserve"> | Robert Groven</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Following this year’s new tradition of fitting parliamentary information to the specific topic at hand, Robert Groven, associate professor of communication studies, spoke on committees and their relationship to Augsburg’s organizational structure.  He said that universities historically operate with “two parallel lines of authority”:  faculty and administration.  The faculty’s democratic, representative process leads to the formation of committees, which Prof. Groven said are “a way to get things done … the primary device we [on the faculty] have to fulfil our mission.”  Membership on these committees is intended to be open to the whole faculty:  you can nominate yourself, or others can nominate you.  But often, at Augsburg, the Senate is required to fill certain requirements for committee members — representing specific departments or disciplines, for example.  That means that by the time some committee votes reach the whole faculty, there isn’t much room for new nominations; many feel as if they are “rubber-stamping” pre-selected candidates.</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The faculty, including its Individual members, controls what a committee does, Prof. Groven said.  “All you have to do is e-mail the chair [with a request] to take up a question,” or ask to make a presentation to the committee.  Likewise, “it would be completely within the faculty’s power,” he said, to create more-contested committee elections by rewriting that section of the Faculty Handbook, although the tradeoff might be a less-efficient nomination process.  “I would like to make it clear that, as with these faculty meetings, we have a lot more power than we imagine.”</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Action Item |  Faculty Committee Appointments, Elections, and Ratifications for 2015–2016</w:t>
      </w: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After hearing no objections to proceeding, the Provost presented a slate of candidates, all nominees to fill this year’s remaining vacancies on faculty committees.  (The limits of technology prevented their projection onto an overhead screen, as one faculty member requested.)</w:t>
      </w:r>
    </w:p>
    <w:p w:rsidR="00000000" w:rsidDel="00000000" w:rsidP="00000000" w:rsidRDefault="00000000" w:rsidRPr="00000000">
      <w:pPr>
        <w:numPr>
          <w:ilvl w:val="0"/>
          <w:numId w:val="1"/>
        </w:numPr>
        <w:tabs>
          <w:tab w:val="left" w:pos="360"/>
        </w:tabs>
        <w:spacing w:line="276" w:lineRule="auto"/>
        <w:ind w:left="360" w:hanging="360"/>
        <w:contextualSpacing w:val="1"/>
        <w:rPr>
          <w:sz w:val="20"/>
          <w:szCs w:val="20"/>
          <w:u w:val="none"/>
        </w:rPr>
      </w:pPr>
      <w:r w:rsidDel="00000000" w:rsidR="00000000" w:rsidRPr="00000000">
        <w:rPr>
          <w:b w:val="1"/>
          <w:sz w:val="20"/>
          <w:szCs w:val="20"/>
          <w:rtl w:val="0"/>
        </w:rPr>
        <w:t xml:space="preserve">Student Standing Committee:</w:t>
      </w:r>
      <w:r w:rsidDel="00000000" w:rsidR="00000000" w:rsidRPr="00000000">
        <w:rPr>
          <w:sz w:val="20"/>
          <w:szCs w:val="20"/>
          <w:rtl w:val="0"/>
        </w:rPr>
        <w:t xml:space="preserve">  Joseph Towle, assistant professor of languages and cross-cultural studies, replacing Christine Peper, assistant professor of education.</w:t>
      </w:r>
    </w:p>
    <w:p w:rsidR="00000000" w:rsidDel="00000000" w:rsidP="00000000" w:rsidRDefault="00000000" w:rsidRPr="00000000">
      <w:pPr>
        <w:numPr>
          <w:ilvl w:val="0"/>
          <w:numId w:val="1"/>
        </w:numPr>
        <w:tabs>
          <w:tab w:val="left" w:pos="360"/>
        </w:tabs>
        <w:spacing w:line="276" w:lineRule="auto"/>
        <w:ind w:left="360" w:hanging="360"/>
        <w:contextualSpacing w:val="1"/>
        <w:rPr>
          <w:sz w:val="20"/>
          <w:szCs w:val="20"/>
          <w:u w:val="none"/>
        </w:rPr>
      </w:pPr>
      <w:r w:rsidDel="00000000" w:rsidR="00000000" w:rsidRPr="00000000">
        <w:rPr>
          <w:b w:val="1"/>
          <w:sz w:val="20"/>
          <w:szCs w:val="20"/>
          <w:rtl w:val="0"/>
        </w:rPr>
        <w:t xml:space="preserve">GAAC:</w:t>
      </w:r>
      <w:r w:rsidDel="00000000" w:rsidR="00000000" w:rsidRPr="00000000">
        <w:rPr>
          <w:sz w:val="20"/>
          <w:szCs w:val="20"/>
          <w:rtl w:val="0"/>
        </w:rPr>
        <w:t xml:space="preserve">  Cass Dalglish, professor of English, replacing Stephan Clark, assistant professor of English (for 1 semester).</w:t>
      </w:r>
    </w:p>
    <w:p w:rsidR="00000000" w:rsidDel="00000000" w:rsidP="00000000" w:rsidRDefault="00000000" w:rsidRPr="00000000">
      <w:pPr>
        <w:numPr>
          <w:ilvl w:val="0"/>
          <w:numId w:val="1"/>
        </w:numPr>
        <w:tabs>
          <w:tab w:val="left" w:pos="360"/>
        </w:tabs>
        <w:spacing w:line="276" w:lineRule="auto"/>
        <w:ind w:left="360" w:hanging="360"/>
        <w:contextualSpacing w:val="1"/>
        <w:rPr>
          <w:sz w:val="20"/>
          <w:szCs w:val="20"/>
          <w:u w:val="none"/>
        </w:rPr>
      </w:pPr>
      <w:r w:rsidDel="00000000" w:rsidR="00000000" w:rsidRPr="00000000">
        <w:rPr>
          <w:b w:val="1"/>
          <w:sz w:val="20"/>
          <w:szCs w:val="20"/>
          <w:rtl w:val="0"/>
        </w:rPr>
        <w:t xml:space="preserve">Personnel Policies Committee:</w:t>
      </w:r>
      <w:r w:rsidDel="00000000" w:rsidR="00000000" w:rsidRPr="00000000">
        <w:rPr>
          <w:sz w:val="20"/>
          <w:szCs w:val="20"/>
          <w:rtl w:val="0"/>
        </w:rPr>
        <w:t xml:space="preserve">  David Murr, associate professor of physics, replacing Roberta Kagin, professor of music (at-large, for 1 year); Matthew Haines, associate professor of mathematics, replacing Jennifer Bankers-Fulbright, associate professor of biology (for 2 years).</w:t>
      </w:r>
    </w:p>
    <w:p w:rsidR="00000000" w:rsidDel="00000000" w:rsidP="00000000" w:rsidRDefault="00000000" w:rsidRPr="00000000">
      <w:pPr>
        <w:numPr>
          <w:ilvl w:val="0"/>
          <w:numId w:val="1"/>
        </w:numPr>
        <w:tabs>
          <w:tab w:val="left" w:pos="360"/>
        </w:tabs>
        <w:spacing w:line="276" w:lineRule="auto"/>
        <w:ind w:left="360" w:hanging="360"/>
        <w:contextualSpacing w:val="1"/>
        <w:rPr>
          <w:sz w:val="20"/>
          <w:szCs w:val="20"/>
          <w:u w:val="none"/>
        </w:rPr>
      </w:pPr>
      <w:r w:rsidDel="00000000" w:rsidR="00000000" w:rsidRPr="00000000">
        <w:rPr>
          <w:b w:val="1"/>
          <w:sz w:val="20"/>
          <w:szCs w:val="20"/>
          <w:rtl w:val="0"/>
        </w:rPr>
        <w:t xml:space="preserve">Committee on Tenure and Promotion:</w:t>
      </w:r>
      <w:r w:rsidDel="00000000" w:rsidR="00000000" w:rsidRPr="00000000">
        <w:rPr>
          <w:sz w:val="20"/>
          <w:szCs w:val="20"/>
          <w:rtl w:val="0"/>
        </w:rPr>
        <w:t xml:space="preserve">  Barbara Lehmann, associate professor of social work, replacing Christina Erickson, associate professor of social work (for 1 semester), and David Lapakko, associate professor of communication studies, replacing Pary Pezechkian-Weinberg, associate professor of cross-cultural studies (for 2 years).</w:t>
      </w:r>
    </w:p>
    <w:p w:rsidR="00000000" w:rsidDel="00000000" w:rsidP="00000000" w:rsidRDefault="00000000" w:rsidRPr="00000000">
      <w:pPr>
        <w:numPr>
          <w:ilvl w:val="0"/>
          <w:numId w:val="1"/>
        </w:numPr>
        <w:tabs>
          <w:tab w:val="left" w:pos="360"/>
        </w:tabs>
        <w:spacing w:line="276" w:lineRule="auto"/>
        <w:ind w:left="360" w:hanging="360"/>
        <w:contextualSpacing w:val="1"/>
        <w:rPr>
          <w:sz w:val="20"/>
          <w:szCs w:val="20"/>
          <w:u w:val="none"/>
        </w:rPr>
      </w:pPr>
      <w:r w:rsidDel="00000000" w:rsidR="00000000" w:rsidRPr="00000000">
        <w:rPr>
          <w:b w:val="1"/>
          <w:sz w:val="20"/>
          <w:szCs w:val="20"/>
          <w:rtl w:val="0"/>
        </w:rPr>
        <w:t xml:space="preserve">CAP:</w:t>
      </w:r>
      <w:r w:rsidDel="00000000" w:rsidR="00000000" w:rsidRPr="00000000">
        <w:rPr>
          <w:sz w:val="20"/>
          <w:szCs w:val="20"/>
          <w:rtl w:val="0"/>
        </w:rPr>
        <w:t xml:space="preserve"> Dallas Liddle, associate professor of English, replacing Phil Adamo, associate professor of history (for 1 year).</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The slate of nominees was unanimously ratified by the faculty.</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Action Item |</w:t>
      </w:r>
      <w:r w:rsidDel="00000000" w:rsidR="00000000" w:rsidRPr="00000000">
        <w:rPr>
          <w:sz w:val="20"/>
          <w:szCs w:val="20"/>
          <w:rtl w:val="0"/>
        </w:rPr>
        <w:t xml:space="preserve"> </w:t>
      </w:r>
      <w:r w:rsidDel="00000000" w:rsidR="00000000" w:rsidRPr="00000000">
        <w:rPr>
          <w:b w:val="1"/>
          <w:sz w:val="20"/>
          <w:szCs w:val="20"/>
          <w:rtl w:val="0"/>
        </w:rPr>
        <w:t xml:space="preserve">Senate Recommendation on Faculty Appointments to University Council</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As described in the Faculty Senate Report, the Senate moved that four tenured faculty members be nominated by the Senate to serve staggered three-year terms on the newly formed UC, subject to ratification by the faculty as a whole.  To clarify, the Provost noted that the UC is a new advisory committee in the university structure, proposed by President Pribbenow; it will include faculty, staff, students and administrators.  It deliberates on issues under the President’s authority.</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The Provost invited discussion.  A lively exchange followed, with the following questions raised:  Why only tenured faculty, which represents only half the teaching staff and does not, as one faculty member put it, “bring a variety of voices to the table”?  If this structure is adopted, one suggested, “could a committee of contingent faculty report to those four tenured-faculty members of the UC?”  (In response to the perceived barrier that nontenured faculty might be fired for an unpopular stance, one speaker said that “no one at Augsburg College has ever gotten into trouble for speaking their mind intelligently and forthrightly”; another said that “articulate spokespeople who are willing to take the risk should be allowed to do so.”)  Should a slate of UC candidates be presented, or would better results be achieved by having faculty members self-nominate?  Would it be possible for nominees to “make the effort to describe who they are and what they hope to accomplish” before their election?  Should the nominees be chosen to represent particular divisions or disciplines, or would this limitation undermine the UC?  Given that not all faculty members attend these meetings, would nominations from the floor put too much power into the hands of “just the people who show up”?</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One faculty member said the group was “overthinking” what was essentially a non-voting, advisory-only committee, but another countered that the UC’s proposed influence made it “a decision-making body.”  Stating that the faculty was “in danger of becoming quiet ratifiers,” one professor argued for rejection of the Senate’s proposal and asked them to “go back to the drawing board.”   </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The question was called, and, after a voice vote and a show of hands, the motion failed.  The Senate was asked to create and present a different proposal to structure UC.</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b w:val="1"/>
          <w:sz w:val="20"/>
          <w:szCs w:val="20"/>
          <w:rtl w:val="0"/>
        </w:rPr>
        <w:t xml:space="preserve">Adjourn</w:t>
      </w: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Provost Kaivola adjourned the meeting at 5:05 p.m.</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 </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Respectfully submitted,</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Rebecca Ganzel</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Cataloging and Metadata Librarian, Lindell Library</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 </w:t>
      </w:r>
    </w:p>
    <w:p w:rsidR="00000000" w:rsidDel="00000000" w:rsidP="00000000" w:rsidRDefault="00000000" w:rsidRPr="00000000">
      <w:pPr>
        <w:tabs>
          <w:tab w:val="left" w:pos="360"/>
        </w:tabs>
        <w:spacing w:line="276" w:lineRule="auto"/>
        <w:contextualSpacing w:val="0"/>
      </w:pPr>
      <w:r w:rsidDel="00000000" w:rsidR="00000000" w:rsidRPr="00000000">
        <w:rPr>
          <w:i w:val="1"/>
          <w:sz w:val="20"/>
          <w:szCs w:val="20"/>
          <w:rtl w:val="0"/>
        </w:rPr>
        <w:t xml:space="preserve">Shortcut to Academic Affairs’ Moodle site for this meeting:  http://goo.gl/7xV5Ou</w:t>
      </w:r>
    </w:p>
    <w:p w:rsidR="00000000" w:rsidDel="00000000" w:rsidP="00000000" w:rsidRDefault="00000000" w:rsidRPr="00000000">
      <w:pPr>
        <w:tabs>
          <w:tab w:val="left" w:pos="360"/>
        </w:tabs>
        <w:spacing w:line="276" w:lineRule="auto"/>
        <w:ind w:left="0" w:firstLine="0"/>
        <w:contextualSpacing w:val="0"/>
      </w:pPr>
      <w:r w:rsidDel="00000000" w:rsidR="00000000" w:rsidRPr="00000000">
        <w:rPr>
          <w:i w:val="1"/>
          <w:sz w:val="20"/>
          <w:szCs w:val="20"/>
          <w:rtl w:val="0"/>
        </w:rPr>
        <w:t xml:space="preserve">Access this document:  https://goo.gl/4SPSS0</w:t>
      </w:r>
      <w:r w:rsidDel="00000000" w:rsidR="00000000" w:rsidRPr="00000000">
        <w:rPr>
          <w:rtl w:val="0"/>
        </w:rPr>
      </w:r>
    </w:p>
    <w:sectPr>
      <w:footerReference r:id="rId8"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Fonts w:ascii="Arial" w:cs="Arial" w:eastAsia="Arial" w:hAnsi="Arial"/>
        <w:b w:val="0"/>
        <w:sz w:val="16"/>
        <w:szCs w:val="16"/>
        <w:rtl w:val="0"/>
      </w:rPr>
      <w:t xml:space="preserve">RG |</w:t>
    </w:r>
    <w:r w:rsidDel="00000000" w:rsidR="00000000" w:rsidRPr="00000000">
      <w:rPr>
        <w:sz w:val="16"/>
        <w:szCs w:val="16"/>
        <w:rtl w:val="0"/>
      </w:rPr>
      <w:t xml:space="preserve"> </w:t>
    </w:r>
    <w:r w:rsidDel="00000000" w:rsidR="00000000" w:rsidRPr="00000000">
      <w:rPr>
        <w:rFonts w:ascii="Arial" w:cs="Arial" w:eastAsia="Arial" w:hAnsi="Arial"/>
        <w:b w:val="0"/>
        <w:sz w:val="16"/>
        <w:szCs w:val="16"/>
        <w:rtl w:val="0"/>
      </w:rPr>
      <w:t xml:space="preserve">Faculty meeting minutes 2015-</w:t>
    </w:r>
    <w:r w:rsidDel="00000000" w:rsidR="00000000" w:rsidRPr="00000000">
      <w:rPr>
        <w:sz w:val="16"/>
        <w:szCs w:val="16"/>
        <w:rtl w:val="0"/>
      </w:rPr>
      <w:t xml:space="preserve">10-15 </w:t>
    </w:r>
    <w:r w:rsidDel="00000000" w:rsidR="00000000" w:rsidRPr="00000000">
      <w:rPr>
        <w:rFonts w:ascii="Arial" w:cs="Arial" w:eastAsia="Arial" w:hAnsi="Arial"/>
        <w:b w:val="0"/>
        <w:sz w:val="16"/>
        <w:szCs w:val="16"/>
        <w:rtl w:val="0"/>
      </w:rPr>
      <w:t xml:space="preserve"> | https://goo.gl/4SPSS0 | </w:t>
    </w:r>
    <w:r w:rsidDel="00000000" w:rsidR="00000000" w:rsidRPr="00000000">
      <w:rPr>
        <w:sz w:val="16"/>
        <w:szCs w:val="16"/>
        <w:rtl w:val="0"/>
      </w:rPr>
      <w:t xml:space="preserve">15 October 2015 </w:t>
    </w:r>
    <w:r w:rsidDel="00000000" w:rsidR="00000000" w:rsidRPr="00000000">
      <w:rPr>
        <w:rFonts w:ascii="Arial" w:cs="Arial" w:eastAsia="Arial" w:hAnsi="Arial"/>
        <w:b w:val="0"/>
        <w:sz w:val="16"/>
        <w:szCs w:val="16"/>
        <w:rtl w:val="0"/>
      </w:rPr>
      <w:tab/>
      <w:t xml:space="preserve">page </w:t>
    </w:r>
    <w:fldSimple w:instr="PAGE" w:fldLock="0" w:dirty="0">
      <w:r w:rsidDel="00000000" w:rsidR="00000000" w:rsidRPr="00000000">
        <w:rPr>
          <w:rFonts w:ascii="Arial" w:cs="Arial" w:eastAsia="Arial" w:hAnsi="Arial"/>
          <w:b w:val="0"/>
          <w:sz w:val="16"/>
          <w:szCs w:val="16"/>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augsburg.edu/strommen/2015/10/09/sophomore-retreat/" TargetMode="External"/><Relationship Id="rId6" Type="http://schemas.openxmlformats.org/officeDocument/2006/relationships/hyperlink" Target="http://inside.augsburg.edu/ctl/" TargetMode="External"/><Relationship Id="rId7" Type="http://schemas.openxmlformats.org/officeDocument/2006/relationships/hyperlink" Target="https://moodle.augsburg.edu/" TargetMode="External"/><Relationship Id="rId8" Type="http://schemas.openxmlformats.org/officeDocument/2006/relationships/footer" Target="footer1.xml"/></Relationships>
</file>