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tabs>
          <w:tab w:val="left" w:pos="360"/>
        </w:tabs>
        <w:contextualSpacing w:val="0"/>
      </w:pPr>
      <w:r w:rsidRPr="00000000" w:rsidR="00000000" w:rsidDel="00000000">
        <w:rPr>
          <w:b w:val="1"/>
          <w:sz w:val="20"/>
          <w:rtl w:val="0"/>
        </w:rPr>
        <w:t xml:space="preserve">Faculty Meeting Minutes</w:t>
      </w:r>
    </w:p>
    <w:p w:rsidP="00000000" w:rsidRPr="00000000" w:rsidR="00000000" w:rsidDel="00000000" w:rsidRDefault="00000000">
      <w:pPr>
        <w:tabs>
          <w:tab w:val="left" w:pos="360"/>
        </w:tabs>
        <w:contextualSpacing w:val="0"/>
      </w:pPr>
      <w:r w:rsidRPr="00000000" w:rsidR="00000000" w:rsidDel="00000000">
        <w:rPr>
          <w:b w:val="1"/>
          <w:sz w:val="20"/>
          <w:rtl w:val="0"/>
        </w:rPr>
        <w:t xml:space="preserve">Tuesday 20 January 2015, 3:40 p.m.</w:t>
      </w:r>
    </w:p>
    <w:p w:rsidP="00000000" w:rsidRPr="00000000" w:rsidR="00000000" w:rsidDel="00000000" w:rsidRDefault="00000000">
      <w:pPr>
        <w:tabs>
          <w:tab w:val="left" w:pos="360"/>
        </w:tabs>
        <w:contextualSpacing w:val="0"/>
      </w:pPr>
      <w:r w:rsidRPr="00000000" w:rsidR="00000000" w:rsidDel="00000000">
        <w:rPr>
          <w:b w:val="1"/>
          <w:sz w:val="20"/>
          <w:rtl w:val="0"/>
        </w:rPr>
        <w:t xml:space="preserve">Hoversten Chapel </w:t>
      </w:r>
    </w:p>
    <w:p w:rsidP="00000000" w:rsidRPr="00000000" w:rsidR="00000000" w:rsidDel="00000000" w:rsidRDefault="00000000">
      <w:pPr>
        <w:tabs>
          <w:tab w:val="left" w:pos="360"/>
        </w:tabs>
        <w:contextualSpacing w:val="0"/>
      </w:pPr>
      <w:r w:rsidRPr="00000000" w:rsidR="00000000" w:rsidDel="00000000">
        <w:rPr>
          <w:rtl w:val="0"/>
        </w:rPr>
      </w:r>
    </w:p>
    <w:p w:rsidP="00000000" w:rsidRPr="00000000" w:rsidR="00000000" w:rsidDel="00000000" w:rsidRDefault="00000000">
      <w:pPr>
        <w:tabs>
          <w:tab w:val="left" w:pos="360"/>
        </w:tabs>
        <w:contextualSpacing w:val="0"/>
      </w:pPr>
      <w:r w:rsidRPr="00000000" w:rsidR="00000000" w:rsidDel="00000000">
        <w:rPr>
          <w:sz w:val="20"/>
          <w:rtl w:val="0"/>
        </w:rPr>
        <w:t xml:space="preserve">President Paul Pribbenow called the meeting to order at 3:43 p.m.</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contextualSpacing w:val="0"/>
      </w:pPr>
      <w:r w:rsidRPr="00000000" w:rsidR="00000000" w:rsidDel="00000000">
        <w:rPr>
          <w:b w:val="1"/>
          <w:sz w:val="20"/>
          <w:rtl w:val="0"/>
        </w:rPr>
        <w:t xml:space="preserve">First Words</w:t>
      </w:r>
    </w:p>
    <w:p w:rsidP="00000000" w:rsidRPr="00000000" w:rsidR="00000000" w:rsidDel="00000000" w:rsidRDefault="00000000">
      <w:pPr>
        <w:tabs>
          <w:tab w:val="left" w:pos="360"/>
        </w:tabs>
        <w:contextualSpacing w:val="0"/>
      </w:pPr>
      <w:r w:rsidRPr="00000000" w:rsidR="00000000" w:rsidDel="00000000">
        <w:rPr>
          <w:sz w:val="20"/>
          <w:rtl w:val="0"/>
        </w:rPr>
        <w:t xml:space="preserve">Mark Tranvik, professor of religion, offered First Words.</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Approval of Minutes</w:t>
      </w:r>
    </w:p>
    <w:p w:rsidP="00000000" w:rsidRPr="00000000" w:rsidR="00000000" w:rsidDel="00000000" w:rsidRDefault="00000000">
      <w:pPr>
        <w:tabs>
          <w:tab w:val="left" w:pos="360"/>
        </w:tabs>
        <w:contextualSpacing w:val="0"/>
      </w:pPr>
      <w:r w:rsidRPr="00000000" w:rsidR="00000000" w:rsidDel="00000000">
        <w:rPr>
          <w:sz w:val="20"/>
          <w:rtl w:val="0"/>
        </w:rPr>
        <w:t xml:space="preserve">The Faculty Meeting Minutes from 17 December 2014 were presented and approved.</w:t>
      </w:r>
    </w:p>
    <w:p w:rsidP="00000000" w:rsidRPr="00000000" w:rsidR="00000000" w:rsidDel="00000000" w:rsidRDefault="00000000">
      <w:pPr>
        <w:tabs>
          <w:tab w:val="left" w:pos="360"/>
        </w:tabs>
        <w:contextualSpacing w:val="0"/>
      </w:pPr>
      <w:r w:rsidRPr="00000000" w:rsidR="00000000" w:rsidDel="00000000">
        <w:rPr>
          <w:rtl w:val="0"/>
        </w:rPr>
      </w:r>
    </w:p>
    <w:p w:rsidP="00000000" w:rsidRPr="00000000" w:rsidR="00000000" w:rsidDel="00000000" w:rsidRDefault="00000000">
      <w:pPr>
        <w:tabs>
          <w:tab w:val="left" w:pos="360"/>
        </w:tabs>
        <w:contextualSpacing w:val="0"/>
      </w:pPr>
      <w:r w:rsidRPr="00000000" w:rsidR="00000000" w:rsidDel="00000000">
        <w:rPr>
          <w:b w:val="1"/>
          <w:sz w:val="20"/>
          <w:rtl w:val="0"/>
        </w:rPr>
        <w:t xml:space="preserve">Ap</w:t>
      </w:r>
      <w:r w:rsidRPr="00000000" w:rsidR="00000000" w:rsidDel="00000000">
        <w:rPr>
          <w:b w:val="1"/>
          <w:color w:val="000000"/>
          <w:sz w:val="20"/>
          <w:rtl w:val="0"/>
        </w:rPr>
        <w:t xml:space="preserve">proval of Agenda</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sz w:val="20"/>
          <w:rtl w:val="0"/>
        </w:rPr>
        <w:t xml:space="preserve">The meeting’s agenda was approved as presented.</w:t>
      </w: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President’s Report</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The Provost was currently at a symposium in Washington, D.C., so there was no formal Provost’s Report this month.  In his report, President Paul Pribbenow first mentioned the leadership team’s </w:t>
      </w:r>
      <w:r w:rsidRPr="00000000" w:rsidR="00000000" w:rsidDel="00000000">
        <w:rPr>
          <w:sz w:val="20"/>
          <w:rtl w:val="0"/>
        </w:rPr>
        <w:t xml:space="preserve">time</w:t>
      </w:r>
      <w:r w:rsidRPr="00000000" w:rsidR="00000000" w:rsidDel="00000000">
        <w:rPr>
          <w:rFonts w:cs="Arial" w:hAnsi="Arial" w:eastAsia="Arial" w:ascii="Arial"/>
          <w:b w:val="0"/>
          <w:color w:val="000000"/>
          <w:sz w:val="20"/>
          <w:rtl w:val="0"/>
        </w:rPr>
        <w:t xml:space="preserve"> </w:t>
      </w:r>
      <w:r w:rsidRPr="00000000" w:rsidR="00000000" w:rsidDel="00000000">
        <w:rPr>
          <w:rFonts w:cs="Arial" w:hAnsi="Arial" w:eastAsia="Arial" w:ascii="Arial"/>
          <w:b w:val="0"/>
          <w:color w:val="000000"/>
          <w:sz w:val="20"/>
          <w:rtl w:val="0"/>
        </w:rPr>
        <w:t xml:space="preserve">last week </w:t>
      </w:r>
      <w:r w:rsidRPr="00000000" w:rsidR="00000000" w:rsidDel="00000000">
        <w:rPr>
          <w:sz w:val="20"/>
          <w:rtl w:val="0"/>
        </w:rPr>
        <w:t xml:space="preserve">in</w:t>
      </w:r>
      <w:r w:rsidRPr="00000000" w:rsidR="00000000" w:rsidDel="00000000">
        <w:rPr>
          <w:rFonts w:cs="Arial" w:hAnsi="Arial" w:eastAsia="Arial" w:ascii="Arial"/>
          <w:b w:val="0"/>
          <w:color w:val="000000"/>
          <w:sz w:val="20"/>
          <w:rtl w:val="0"/>
        </w:rPr>
        <w:t xml:space="preserve"> Rochester, a community in which Augsburg has had an academic presence for more than a decade.  He said that now that the Committee on Academic Planning (CAP) has ruled out “the Phoenix question,” Augsburg’s attention is turning to ways to grow the Rochester programs.  The faculty will be kept informed of any initiatives as the college moves forward.</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Improving student retention is on the table for several upcoming events, two of which were on a sheet distributed at the meeting:  a presentation by David Kalsbeek, senior vice president of enrollment management at DePaul University, on “The 4 Ps:  Reframing Retention Strategy,” Friday 30 January, and a “retention summit meeting” on Thursday, 12 February.  All are welcome to come and participate in both events, the President said, in order to formulate a response “to what I think we can agree are not the results we want in the undergraduate day program.”  He also invited those who could not attend to contact him with suggestions, noting that this coming Friday we will learn the fall-to-spring retention numbers.</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With regard to the Nobel Peace Prize Forum coming up in March, the President noted that the college is funding a group of student tickets for each of the Forum’s three days, and that a Master’s in Leadership class is being taught that links to this year’s program.  He then introduced Gina Torry, the Forum’s executive director, who spoke briefly about the 6–8 March event’s theme of “sustainable peacemaking and peace-building.”</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Faculty Senate Report</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Bill Green, professor of history, was not present due to illness.  Michael Lansing, associate professor and chair of history, represented the Faculty Senate’s Personnel Policies Committee (PPC) in presenting two proposed changes to the Faculty Handbook (sections 6.1 and 9.2) that, having been given a “first reading” at the December meeting, were still on the floor at this meeting (no motion or second needed).  Discussion began on the revised language, with one faculty member asking whether there had been a resolution of last month’s question as to whether the Compensation Committee proposed in Section 9.2 should still be a subcommittee of the PPC, or stand alone.  Prof. Lansing responded that this issue had been discussed but that, since the Faculty Handbook charges the PPC with compensation issues, it was decided that it would be “a much larger shift” to move the new committee outside the PPC at present.  Another professor asked for clarification of Section 9.2’s description of the new committee’s composition, with “two members at large who have expertise relevant to compensation and/or finance.”  Prof. Lansing said that the word “expertise” was deliberately used so that there could be flexibility in appointing those members.</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Robert Cowgill, associate professor of English, then asked, “What is a quorum of this body?”  Robert Groven, associate professor of communication studies, responded that it was half of 188, the number of full-time faculty members.  At this point, Prof. Cowgill formally called for quorum, and the meeting paused while Prof. Groven performed the count and announced that there were 55 members present; “we don’t have close to a quorum.”  He informed Prof. Cowgill that he was welcome to make a motion for decision by quorum, but that, once that motion was made and seconded, no business could be conducted in the absence of a quorum, and the meeting would end.</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Instead, Prof. Cowgill moved to amend the agenda so that the “first readings” part of the Faculty Senate Report would be transferred to the end of the meeting.  Elise Marubbio, associate professor of American Indian Studies, seconded the motion, which passed unanimously.</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Academic Affairs Committee Report</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Amy Gort, Dean of Arts and Sciences, reported on a decision made by the Curriculum Committee, approved by the Academic Affairs Committee (AAC) on 12 January, which has historic implications for the college:  The Languages and Cross-Cultural Studies Department will discontinue its majors in Norwegian and in Nordic Area Studies.  Characterizing it as “a difficult decision to come to,” Dean Gort affirmed the college’s overall support of Norwegian culture and the importance of languages in Augsburg’s curriculum.  She said that a “broader conversation” was possible, including the formation of a task force on languages.</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In the ensuing discussion, it was asked whether there was a plan to teach languages “better suited to our student body,” such as Arabic or Asian languages.  Michael Kidd, associate professor and chair of Languages and Cross-Cultural Studies, responded that the subject had come under discussion in the department, which is “at a crossroads in terms of staffing.”  Prof. Kidd said that the department’s intention is to focus on languages that have enough students to build a major.  Currently, he said, one student is minoring in Norwegian language (none are majors), and only one is majoring in Nordic Studies. The department will, however, continue to teach Norwegian 111 and 112, since these courses are adequately enrolled.  It was asked if there was a possibility of raising funds for an endowed chair in Norwegian to reflect the college’s historic heritage.  President Pribbenow said that the provosts of the Associated Colleges of the Twin Cities (ACTC) were having an “important conversation” around language programs, since each institution wants to share “robust” programs without duplicating each other’s efforts.  When another faculty member asked if Augsburg would consider changing its academic schedule to better conform to those of other ACTC schools, the President responded that this too was on the ACTC’s radar.</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The President added that Augsburg’s Norwegian heritage is personally important to him, “but I don’t care about it for nostalgic purposes, but rather for relevancy,” such as Norway’s cultural link to peacemaking.  He said that discontinuing the major does not diminish Augsburg’s commitment to Norway or the college’s role in Norwegian life, but rather reflects a more prudent way to use our limited resources.  “We are dedicated to lots of connections to Norway,” he said, noting that much business in Norway today is conducted in the English language.</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One faculty member commented that although he was of Norwegian ancestry himself, he supported the department’s decision and the AAC’s acceptance of it:  “Augsburg is an immigrant college more than it is a Norwegian college.”</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Prof. Kidd said that Augsburg’s language requirement was also under discussion, which prompted several responses, including a faculty member who affirmed that exchange students from Norway continue to enrich our program, and that it was a good thing to require students to speak another language than English.  Director Torry said she also hopes to leverage the Peace Prize Forum in subsequent discussions.</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Discussion of 2013–2014 Assessment Data on Writing and Critical Thinking</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Preparatory to breaking into small-group discussions, Dean Gort joked that she hoped that having “assessment” on the agenda was not the reason for a small turnout for this meeting.  She presented many charts and graphs reflecting Augsburg’s graduation outcomes and the different ways they are measured.  These materials are all available in the “Assessment-Data-2013-14_CTW” document on the Academic Affairs’ Web page, </w:t>
      </w:r>
      <w:hyperlink r:id="rId5">
        <w:r w:rsidRPr="00000000" w:rsidR="00000000" w:rsidDel="00000000">
          <w:rPr>
            <w:rFonts w:cs="Arial" w:hAnsi="Arial" w:eastAsia="Arial" w:ascii="Arial"/>
            <w:b w:val="0"/>
            <w:color w:val="0563c1"/>
            <w:sz w:val="20"/>
            <w:u w:val="single"/>
            <w:rtl w:val="0"/>
          </w:rPr>
          <w:t xml:space="preserve">http://goo.gl/4qCHQt</w:t>
        </w:r>
      </w:hyperlink>
      <w:r w:rsidRPr="00000000" w:rsidR="00000000" w:rsidDel="00000000">
        <w:rPr>
          <w:rFonts w:cs="Arial" w:hAnsi="Arial" w:eastAsia="Arial" w:ascii="Arial"/>
          <w:b w:val="0"/>
          <w:color w:val="000000"/>
          <w:sz w:val="20"/>
          <w:rtl w:val="0"/>
        </w:rPr>
        <w:t xml:space="preserve">.  After Dean Gort explained the three-year assessment cycles that were underway, with different sources of information used and different kinds of data collected, the faculty then spent 25 minutes in groups of 6 to 8 members, discussing the results of the National Survey of Student Engagement (NSSE)’s survey of Augsburg’s first-year and senior students, in the areas of critical thinking and writing.</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After these small-group discussions were summarized, Dean Gort urged all faculty members to submit questions and comments to the discussion board that is part of the Assessment Moodle site (see </w:t>
      </w:r>
      <w:hyperlink r:id="rId6">
        <w:r w:rsidRPr="00000000" w:rsidR="00000000" w:rsidDel="00000000">
          <w:rPr>
            <w:rFonts w:cs="Arial" w:hAnsi="Arial" w:eastAsia="Arial" w:ascii="Arial"/>
            <w:b w:val="0"/>
            <w:color w:val="0563c1"/>
            <w:sz w:val="20"/>
            <w:u w:val="single"/>
            <w:rtl w:val="0"/>
          </w:rPr>
          <w:t xml:space="preserve">http://goo.gl/VIFbkN</w:t>
        </w:r>
      </w:hyperlink>
      <w:r w:rsidRPr="00000000" w:rsidR="00000000" w:rsidDel="00000000">
        <w:rPr>
          <w:rFonts w:cs="Arial" w:hAnsi="Arial" w:eastAsia="Arial" w:ascii="Arial"/>
          <w:b w:val="0"/>
          <w:color w:val="000000"/>
          <w:sz w:val="20"/>
          <w:rtl w:val="0"/>
        </w:rPr>
        <w:t xml:space="preserve">).  She said that the goal is to compile the information collected today and report back to the faculty.</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Announcements</w:t>
      </w:r>
    </w:p>
    <w:p w:rsidP="00000000" w:rsidRPr="00000000" w:rsidR="00000000" w:rsidDel="00000000" w:rsidRDefault="00000000">
      <w:pPr>
        <w:tabs>
          <w:tab w:val="left" w:pos="360"/>
        </w:tabs>
        <w:spacing w:lineRule="auto" w:after="0" w:line="240" w:before="0"/>
        <w:contextualSpacing w:val="0"/>
      </w:pPr>
      <w:bookmarkStart w:id="0" w:colFirst="0" w:name="h.gjdgxs" w:colLast="0"/>
      <w:bookmarkEnd w:id="0"/>
      <w:r w:rsidRPr="00000000" w:rsidR="00000000" w:rsidDel="00000000">
        <w:rPr>
          <w:rFonts w:cs="Arial" w:hAnsi="Arial" w:eastAsia="Arial" w:ascii="Arial"/>
          <w:b w:val="0"/>
          <w:color w:val="000000"/>
          <w:sz w:val="20"/>
          <w:rtl w:val="0"/>
        </w:rPr>
        <w:t xml:space="preserve">President Pribbenow announced an event the following Monday, a discussion over lunch of the “First Word” offering, that was described on a flyer distributed at the meeting.  He then turned the meeting to its final agenda item, action on revising the Faculty Handbook’s Section 6 and Section 9.  Prof. Lansing pointed out that, if the Handbook’s changes were not approved that day, the Board of Regents would be unable to approve them at their upcoming quarterly meeting, at the end of this month; the next Regents meeting is in May.</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Saying that it was “not appropriate for a majority of a minority” to vote on this issue, Prof. Cowgill moved dismissal for lack of a quorum.</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1"/>
          <w:color w:val="000000"/>
          <w:sz w:val="20"/>
          <w:rtl w:val="0"/>
        </w:rPr>
        <w:t xml:space="preserve">Adjourn</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color w:val="000000"/>
          <w:sz w:val="20"/>
          <w:rtl w:val="0"/>
        </w:rPr>
        <w:t xml:space="preserve">President Pribbenow adjourned the meeting at 5:06 p.m.</w:t>
      </w:r>
    </w:p>
    <w:p w:rsidP="00000000" w:rsidRPr="00000000" w:rsidR="00000000" w:rsidDel="00000000" w:rsidRDefault="00000000">
      <w:pPr>
        <w:tabs>
          <w:tab w:val="left" w:pos="360"/>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i w:val="1"/>
          <w:color w:val="000000"/>
          <w:sz w:val="20"/>
          <w:rtl w:val="0"/>
        </w:rPr>
        <w:t xml:space="preserve">Respectfully submitted,</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i w:val="1"/>
          <w:color w:val="000000"/>
          <w:sz w:val="20"/>
          <w:rtl w:val="0"/>
        </w:rPr>
        <w:t xml:space="preserve">Rebecca Ganzel</w:t>
      </w:r>
    </w:p>
    <w:p w:rsidP="00000000" w:rsidRPr="00000000" w:rsidR="00000000" w:rsidDel="00000000" w:rsidRDefault="00000000">
      <w:pPr>
        <w:tabs>
          <w:tab w:val="left" w:pos="360"/>
        </w:tabs>
        <w:spacing w:lineRule="auto" w:after="0" w:line="240" w:before="0"/>
        <w:contextualSpacing w:val="0"/>
      </w:pPr>
      <w:r w:rsidRPr="00000000" w:rsidR="00000000" w:rsidDel="00000000">
        <w:rPr>
          <w:rFonts w:cs="Arial" w:hAnsi="Arial" w:eastAsia="Arial" w:ascii="Arial"/>
          <w:b w:val="0"/>
          <w:i w:val="1"/>
          <w:color w:val="000000"/>
          <w:sz w:val="20"/>
          <w:rtl w:val="0"/>
        </w:rPr>
        <w:t xml:space="preserve">Cataloging and Metadata Librarian, Lindell Library</w:t>
      </w:r>
      <w:r w:rsidRPr="00000000" w:rsidR="00000000" w:rsidDel="00000000">
        <w:rPr>
          <w:rtl w:val="0"/>
        </w:rPr>
      </w:r>
    </w:p>
    <w:sectPr>
      <w:footerReference r:id="rId7"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Fonts w:cs="Arial" w:hAnsi="Arial" w:eastAsia="Arial" w:ascii="Arial"/>
        <w:b w:val="0"/>
        <w:sz w:val="16"/>
        <w:rtl w:val="0"/>
      </w:rPr>
      <w:t xml:space="preserve">RG | Dropbox\Augsburg 2013-\Faculty meeting 2015-01-20\Faculty meeting minutes 2015-01-20.docx | 1/28/2015</w:t>
      <w:tab/>
      <w:t xml:space="preserve">page </w:t>
    </w:r>
    <w:fldSimple w:dirty="0" w:instr="PAGE" w:fldLock="0">
      <w:r w:rsidRPr="00000000" w:rsidR="00000000" w:rsidDel="00000000">
        <w:rPr>
          <w:rFonts w:cs="Arial" w:hAnsi="Arial" w:eastAsia="Arial" w:ascii="Arial"/>
          <w:b w:val="0"/>
          <w:sz w:val="16"/>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goo.gl/VIFbkN" Type="http://schemas.openxmlformats.org/officeDocument/2006/relationships/hyperlink" TargetMode="External" Id="rId6"/><Relationship Target="http://goo.gl/4qCHQt" Type="http://schemas.openxmlformats.org/officeDocument/2006/relationships/hyperlink" TargetMode="External"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meeting minutes 2015-01-20.docx.docx</dc:title>
</cp:coreProperties>
</file>