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B0522C" w14:textId="321F9F81" w:rsidR="004920D7" w:rsidRDefault="004B64F2">
      <w:r>
        <w:t xml:space="preserve">TO: Augsburg </w:t>
      </w:r>
      <w:r w:rsidR="00513657">
        <w:t xml:space="preserve">College </w:t>
      </w:r>
      <w:r>
        <w:t>Faculty</w:t>
      </w:r>
    </w:p>
    <w:p w14:paraId="724D5DEA" w14:textId="77777777" w:rsidR="004B64F2" w:rsidRDefault="004B64F2"/>
    <w:p w14:paraId="1D18C47C" w14:textId="5F380AB9" w:rsidR="004B64F2" w:rsidRDefault="004B64F2">
      <w:r>
        <w:t>FROM: Personnel Policies Committee</w:t>
      </w:r>
      <w:r w:rsidR="00310173">
        <w:t xml:space="preserve"> (Kristin Anderson, co-chair, Michael Lansing, co-chair, Matthew Beckman, Roberta </w:t>
      </w:r>
      <w:proofErr w:type="spellStart"/>
      <w:r w:rsidR="00310173">
        <w:t>Kagin</w:t>
      </w:r>
      <w:proofErr w:type="spellEnd"/>
      <w:r w:rsidR="00407112">
        <w:t>,</w:t>
      </w:r>
      <w:r w:rsidR="00407112" w:rsidRPr="00407112">
        <w:t xml:space="preserve"> </w:t>
      </w:r>
      <w:r w:rsidR="0015401A">
        <w:t>Vicki Olson</w:t>
      </w:r>
      <w:r w:rsidR="00310173">
        <w:t>)</w:t>
      </w:r>
    </w:p>
    <w:p w14:paraId="5A3680DE" w14:textId="77777777" w:rsidR="004B64F2" w:rsidRDefault="004B64F2"/>
    <w:p w14:paraId="77FAAAD9" w14:textId="77777777" w:rsidR="004B64F2" w:rsidRDefault="004B64F2">
      <w:r>
        <w:t>DATE: 12/11/14</w:t>
      </w:r>
    </w:p>
    <w:p w14:paraId="66793DBE" w14:textId="77777777" w:rsidR="004B64F2" w:rsidRDefault="004B64F2"/>
    <w:p w14:paraId="5442860D" w14:textId="77777777" w:rsidR="004B64F2" w:rsidRDefault="004B64F2">
      <w:r>
        <w:t>SUBJECT: Changes to Section 6 N</w:t>
      </w:r>
      <w:r w:rsidR="002C5718">
        <w:t xml:space="preserve">on Tenure Track Faculty </w:t>
      </w:r>
      <w:r>
        <w:t xml:space="preserve">Proposal (approved by </w:t>
      </w:r>
      <w:r w:rsidR="002C5718">
        <w:t>f</w:t>
      </w:r>
      <w:r>
        <w:t>aculty in May 2014)</w:t>
      </w:r>
    </w:p>
    <w:p w14:paraId="171D8D5F" w14:textId="77777777" w:rsidR="004B64F2" w:rsidRDefault="004B64F2"/>
    <w:p w14:paraId="63C53786" w14:textId="4CE1D5D5" w:rsidR="00310173" w:rsidRDefault="0015401A">
      <w:r>
        <w:t>The Personnel Policies Committee (</w:t>
      </w:r>
      <w:r w:rsidR="002C5718">
        <w:t>PPC</w:t>
      </w:r>
      <w:r>
        <w:t>)</w:t>
      </w:r>
      <w:r w:rsidR="002C5718">
        <w:t xml:space="preserve"> is bringing forward changes </w:t>
      </w:r>
      <w:r w:rsidR="00310173">
        <w:t xml:space="preserve">to two passages in </w:t>
      </w:r>
      <w:r w:rsidR="002C5718">
        <w:t>the Section 6 Non Tenure Track Faculty (NTTF) Proposal approved by the faculty in May 2014.</w:t>
      </w:r>
      <w:r w:rsidR="00310173">
        <w:t xml:space="preserve">  The broader proposal has not yet been approved by the Board of Regents because of concerns raised by the Provost related to the two passages in question.  The changes to the two passage</w:t>
      </w:r>
      <w:r w:rsidR="00407112">
        <w:t>s</w:t>
      </w:r>
      <w:r w:rsidR="00310173">
        <w:t xml:space="preserve"> are meant to insure that the Board of Regents will approve the entirety of the Section 6 NTTF proposal already approved by the faculty. </w:t>
      </w:r>
      <w:r w:rsidR="00B33A97">
        <w:t xml:space="preserve"> </w:t>
      </w:r>
      <w:r w:rsidR="00407112">
        <w:t>The two passages are located in Section 6.1 Appointments.</w:t>
      </w:r>
    </w:p>
    <w:p w14:paraId="1FEFEA7F" w14:textId="77777777" w:rsidR="00310173" w:rsidRDefault="00310173"/>
    <w:p w14:paraId="5203C34E" w14:textId="7C79809A" w:rsidR="002C5718" w:rsidRDefault="002C5718">
      <w:proofErr w:type="gramStart"/>
      <w:r>
        <w:t>Both changes have been approved by the Faculty Senate</w:t>
      </w:r>
      <w:proofErr w:type="gramEnd"/>
      <w:r>
        <w:t>.  We will not be taking a vote on these changes at our December faculty meeting, be</w:t>
      </w:r>
      <w:r w:rsidR="00B33A97">
        <w:t xml:space="preserve">cause </w:t>
      </w:r>
      <w:r w:rsidR="0093397A">
        <w:t xml:space="preserve">changes </w:t>
      </w:r>
      <w:r w:rsidR="003F5D97">
        <w:t>relating to Section 6</w:t>
      </w:r>
      <w:bookmarkStart w:id="0" w:name="_GoBack"/>
      <w:bookmarkEnd w:id="0"/>
      <w:r w:rsidR="0093397A">
        <w:t xml:space="preserve"> </w:t>
      </w:r>
      <w:r w:rsidR="00310173">
        <w:t>require a 30-</w:t>
      </w:r>
      <w:r>
        <w:t xml:space="preserve">day reading period for the faculty before a vote can be taken.  We plan </w:t>
      </w:r>
      <w:r w:rsidR="00310173">
        <w:t>to schedule a</w:t>
      </w:r>
      <w:r>
        <w:t xml:space="preserve"> </w:t>
      </w:r>
      <w:r w:rsidR="00310173">
        <w:t>vote</w:t>
      </w:r>
      <w:r>
        <w:t xml:space="preserve"> on these two changes at the January 2015 faculty meeting.  </w:t>
      </w:r>
    </w:p>
    <w:p w14:paraId="756877E0" w14:textId="77777777" w:rsidR="004B64F2" w:rsidRDefault="004B64F2"/>
    <w:p w14:paraId="43CBC5D5" w14:textId="41B2A6A6" w:rsidR="004B64F2" w:rsidRPr="00407112" w:rsidRDefault="002C5718" w:rsidP="00407112">
      <w:pPr>
        <w:widowControl w:val="0"/>
        <w:autoSpaceDE w:val="0"/>
        <w:autoSpaceDN w:val="0"/>
        <w:adjustRightInd w:val="0"/>
        <w:rPr>
          <w:i/>
        </w:rPr>
      </w:pPr>
      <w:r>
        <w:rPr>
          <w:rFonts w:eastAsia="Times New Roman"/>
        </w:rPr>
        <w:t xml:space="preserve">1) The College’s legal counsel found </w:t>
      </w:r>
      <w:r w:rsidR="00B33A97">
        <w:rPr>
          <w:rFonts w:eastAsia="Times New Roman"/>
        </w:rPr>
        <w:t>the final</w:t>
      </w:r>
      <w:r w:rsidR="004B64F2" w:rsidRPr="00C1416D">
        <w:rPr>
          <w:rFonts w:eastAsia="Times New Roman"/>
        </w:rPr>
        <w:t xml:space="preserve"> sentence </w:t>
      </w:r>
      <w:r w:rsidR="00B33A97">
        <w:rPr>
          <w:rFonts w:eastAsia="Times New Roman"/>
        </w:rPr>
        <w:t>of the paragraph below—</w:t>
      </w:r>
      <w:r w:rsidR="004B64F2" w:rsidRPr="00C1416D">
        <w:rPr>
          <w:rFonts w:eastAsia="Times New Roman"/>
        </w:rPr>
        <w:t xml:space="preserve">regarding </w:t>
      </w:r>
      <w:r>
        <w:rPr>
          <w:rFonts w:eastAsia="Times New Roman"/>
        </w:rPr>
        <w:t xml:space="preserve">the </w:t>
      </w:r>
      <w:r w:rsidR="004B64F2" w:rsidRPr="00C1416D">
        <w:rPr>
          <w:rFonts w:eastAsia="Times New Roman"/>
        </w:rPr>
        <w:t>proportion</w:t>
      </w:r>
      <w:r w:rsidR="004B64F2">
        <w:rPr>
          <w:rFonts w:eastAsia="Times New Roman"/>
        </w:rPr>
        <w:t xml:space="preserve"> of tenure track </w:t>
      </w:r>
      <w:r>
        <w:rPr>
          <w:rFonts w:eastAsia="Times New Roman"/>
        </w:rPr>
        <w:t xml:space="preserve">to </w:t>
      </w:r>
      <w:r w:rsidR="004B64F2">
        <w:rPr>
          <w:rFonts w:eastAsia="Times New Roman"/>
        </w:rPr>
        <w:t>non-tenure track faculty</w:t>
      </w:r>
      <w:r w:rsidR="00B33A97">
        <w:rPr>
          <w:rFonts w:eastAsia="Times New Roman"/>
        </w:rPr>
        <w:t>—</w:t>
      </w:r>
      <w:r>
        <w:rPr>
          <w:rFonts w:eastAsia="Times New Roman"/>
        </w:rPr>
        <w:t>problematic</w:t>
      </w:r>
      <w:r w:rsidR="004B64F2" w:rsidRPr="00C1416D">
        <w:rPr>
          <w:rFonts w:eastAsia="Times New Roman"/>
        </w:rPr>
        <w:t>:</w:t>
      </w:r>
      <w:r w:rsidR="004B64F2" w:rsidRPr="00C1416D">
        <w:rPr>
          <w:rFonts w:eastAsia="Times New Roman"/>
        </w:rPr>
        <w:br/>
      </w:r>
      <w:r w:rsidR="004B64F2" w:rsidRPr="00C1416D">
        <w:rPr>
          <w:rFonts w:eastAsia="Times New Roman"/>
        </w:rPr>
        <w:br/>
      </w:r>
      <w:r w:rsidR="00407112" w:rsidRPr="00407112">
        <w:rPr>
          <w:i/>
        </w:rPr>
        <w:t>Augsburg College is committed to tenure and to the faculty teacher-s</w:t>
      </w:r>
      <w:r w:rsidR="00407112">
        <w:rPr>
          <w:i/>
        </w:rPr>
        <w:t xml:space="preserve">cholar as the primary model for </w:t>
      </w:r>
      <w:r w:rsidR="00407112" w:rsidRPr="00407112">
        <w:rPr>
          <w:i/>
        </w:rPr>
        <w:t>full-time faculty members. Tenure strengthens academic freedom, offers economic security, and</w:t>
      </w:r>
      <w:r w:rsidR="00407112">
        <w:rPr>
          <w:i/>
        </w:rPr>
        <w:t xml:space="preserve"> </w:t>
      </w:r>
      <w:r w:rsidR="00407112" w:rsidRPr="00407112">
        <w:rPr>
          <w:i/>
        </w:rPr>
        <w:t>ensures a strong foundation for faculty participation in shared governance. It fosters and helps</w:t>
      </w:r>
      <w:r w:rsidR="00407112">
        <w:rPr>
          <w:i/>
        </w:rPr>
        <w:t xml:space="preserve"> </w:t>
      </w:r>
      <w:r w:rsidR="00407112" w:rsidRPr="00407112">
        <w:rPr>
          <w:i/>
        </w:rPr>
        <w:t xml:space="preserve">sustain academic quality. </w:t>
      </w:r>
      <w:r w:rsidR="004B64F2" w:rsidRPr="00C1416D">
        <w:rPr>
          <w:rFonts w:eastAsia="Times New Roman"/>
          <w:i/>
          <w:iCs/>
        </w:rPr>
        <w:t>As a consequence of this commitment, t</w:t>
      </w:r>
      <w:r w:rsidR="004B64F2">
        <w:rPr>
          <w:rFonts w:eastAsia="Times New Roman"/>
          <w:i/>
          <w:iCs/>
        </w:rPr>
        <w:t xml:space="preserve">he College limits the number of </w:t>
      </w:r>
      <w:r w:rsidR="004B64F2" w:rsidRPr="00C1416D">
        <w:rPr>
          <w:rFonts w:eastAsia="Times New Roman"/>
          <w:i/>
          <w:iCs/>
        </w:rPr>
        <w:t xml:space="preserve">Non-tenure Track appointments so that </w:t>
      </w:r>
      <w:proofErr w:type="gramStart"/>
      <w:r w:rsidR="004B64F2" w:rsidRPr="00C1416D">
        <w:rPr>
          <w:rFonts w:eastAsia="Times New Roman"/>
          <w:i/>
          <w:iCs/>
        </w:rPr>
        <w:t>no more than 30% of undergraduate courses are taught by faculty members in Non-tenure Track appointments</w:t>
      </w:r>
      <w:proofErr w:type="gramEnd"/>
      <w:r w:rsidR="004B64F2" w:rsidRPr="00C1416D">
        <w:rPr>
          <w:rFonts w:eastAsia="Times New Roman"/>
          <w:i/>
          <w:iCs/>
        </w:rPr>
        <w:t>.</w:t>
      </w:r>
      <w:r w:rsidR="004B64F2" w:rsidRPr="00C1416D">
        <w:rPr>
          <w:rFonts w:eastAsia="Times New Roman"/>
        </w:rPr>
        <w:t xml:space="preserve"> (Section 6.1, Paragraph 1, version approved by faculty in May 2014). </w:t>
      </w:r>
    </w:p>
    <w:p w14:paraId="7B716726" w14:textId="77777777" w:rsidR="004B64F2" w:rsidRDefault="004B64F2"/>
    <w:p w14:paraId="488F16CA" w14:textId="77777777" w:rsidR="002C5718" w:rsidRDefault="002C5718">
      <w:r>
        <w:t>PPC ultimately recommended—and Faculty Senate approved—the following replacement language:</w:t>
      </w:r>
    </w:p>
    <w:p w14:paraId="346A1222" w14:textId="77777777" w:rsidR="00310173" w:rsidRDefault="00310173"/>
    <w:p w14:paraId="64467884" w14:textId="65A8D3D7" w:rsidR="00310173" w:rsidRPr="00310173" w:rsidRDefault="00407112" w:rsidP="00310173">
      <w:pPr>
        <w:widowControl w:val="0"/>
        <w:autoSpaceDE w:val="0"/>
        <w:autoSpaceDN w:val="0"/>
        <w:adjustRightInd w:val="0"/>
        <w:rPr>
          <w:color w:val="1A1A1A"/>
        </w:rPr>
      </w:pPr>
      <w:r w:rsidRPr="00407112">
        <w:rPr>
          <w:i/>
        </w:rPr>
        <w:t>Augsburg College is committed to tenure and to the faculty teacher-s</w:t>
      </w:r>
      <w:r>
        <w:rPr>
          <w:i/>
        </w:rPr>
        <w:t xml:space="preserve">cholar as the primary model for </w:t>
      </w:r>
      <w:r w:rsidRPr="00407112">
        <w:rPr>
          <w:i/>
        </w:rPr>
        <w:t>full-time faculty members. Tenure strengthens academic freedom, offers economic security, and</w:t>
      </w:r>
      <w:r>
        <w:rPr>
          <w:i/>
        </w:rPr>
        <w:t xml:space="preserve"> </w:t>
      </w:r>
      <w:r w:rsidRPr="00407112">
        <w:rPr>
          <w:i/>
        </w:rPr>
        <w:t>ensures a strong foundation for faculty participation in shared governance. It fosters and helps</w:t>
      </w:r>
      <w:r>
        <w:rPr>
          <w:i/>
        </w:rPr>
        <w:t xml:space="preserve"> </w:t>
      </w:r>
      <w:r w:rsidRPr="00407112">
        <w:rPr>
          <w:i/>
        </w:rPr>
        <w:t xml:space="preserve">sustain academic quality. </w:t>
      </w:r>
      <w:r w:rsidR="00310173" w:rsidRPr="00310173">
        <w:rPr>
          <w:i/>
          <w:iCs/>
          <w:color w:val="1A1A1A"/>
        </w:rPr>
        <w:t xml:space="preserve">As a consequence of this commitment, </w:t>
      </w:r>
      <w:r w:rsidR="00310173" w:rsidRPr="00407112">
        <w:rPr>
          <w:i/>
          <w:iCs/>
          <w:color w:val="1A1A1A"/>
          <w:highlight w:val="yellow"/>
        </w:rPr>
        <w:t xml:space="preserve">it is the goal of the College, subject to available resources and the needs of its academic programs, to </w:t>
      </w:r>
      <w:r w:rsidR="00310173" w:rsidRPr="00B33A97">
        <w:rPr>
          <w:i/>
          <w:iCs/>
          <w:color w:val="1A1A1A"/>
          <w:highlight w:val="yellow"/>
        </w:rPr>
        <w:t xml:space="preserve">have no more than 30% of undergraduate courses taught by faculty </w:t>
      </w:r>
      <w:r w:rsidR="00B33A97">
        <w:rPr>
          <w:i/>
          <w:iCs/>
          <w:color w:val="1A1A1A"/>
          <w:highlight w:val="yellow"/>
        </w:rPr>
        <w:t xml:space="preserve">members </w:t>
      </w:r>
      <w:r w:rsidR="00B33A97" w:rsidRPr="00B33A97">
        <w:rPr>
          <w:i/>
          <w:iCs/>
          <w:color w:val="1A1A1A"/>
          <w:highlight w:val="yellow"/>
        </w:rPr>
        <w:t>in</w:t>
      </w:r>
      <w:r w:rsidR="00310173" w:rsidRPr="00B33A97">
        <w:rPr>
          <w:i/>
          <w:iCs/>
          <w:color w:val="1A1A1A"/>
          <w:highlight w:val="yellow"/>
        </w:rPr>
        <w:t xml:space="preserve"> </w:t>
      </w:r>
      <w:r w:rsidR="00B33A97" w:rsidRPr="00B33A97">
        <w:rPr>
          <w:i/>
          <w:iCs/>
          <w:color w:val="1A1A1A"/>
          <w:highlight w:val="yellow"/>
        </w:rPr>
        <w:t>N</w:t>
      </w:r>
      <w:r w:rsidR="00310173" w:rsidRPr="00B33A97">
        <w:rPr>
          <w:i/>
          <w:iCs/>
          <w:color w:val="1A1A1A"/>
          <w:highlight w:val="yellow"/>
        </w:rPr>
        <w:t xml:space="preserve">on-tenure </w:t>
      </w:r>
      <w:r w:rsidR="00B33A97" w:rsidRPr="00B33A97">
        <w:rPr>
          <w:i/>
          <w:iCs/>
          <w:color w:val="1A1A1A"/>
          <w:highlight w:val="yellow"/>
        </w:rPr>
        <w:t>T</w:t>
      </w:r>
      <w:r w:rsidR="00310173" w:rsidRPr="00B33A97">
        <w:rPr>
          <w:i/>
          <w:iCs/>
          <w:color w:val="1A1A1A"/>
          <w:highlight w:val="yellow"/>
        </w:rPr>
        <w:t>rack appointments.</w:t>
      </w:r>
    </w:p>
    <w:p w14:paraId="7E8A5BCE" w14:textId="77777777" w:rsidR="00310173" w:rsidRPr="00310173" w:rsidRDefault="00310173" w:rsidP="00310173">
      <w:pPr>
        <w:widowControl w:val="0"/>
        <w:autoSpaceDE w:val="0"/>
        <w:autoSpaceDN w:val="0"/>
        <w:adjustRightInd w:val="0"/>
        <w:rPr>
          <w:color w:val="1A1A1A"/>
        </w:rPr>
      </w:pPr>
    </w:p>
    <w:p w14:paraId="1CF0F7B5" w14:textId="77777777" w:rsidR="00310173" w:rsidRPr="00310173" w:rsidRDefault="00310173" w:rsidP="00310173">
      <w:pPr>
        <w:widowControl w:val="0"/>
        <w:autoSpaceDE w:val="0"/>
        <w:autoSpaceDN w:val="0"/>
        <w:adjustRightInd w:val="0"/>
        <w:rPr>
          <w:color w:val="1A1A1A"/>
        </w:rPr>
      </w:pPr>
      <w:r>
        <w:rPr>
          <w:color w:val="1A1A1A"/>
        </w:rPr>
        <w:t>This</w:t>
      </w:r>
      <w:r w:rsidRPr="00310173">
        <w:rPr>
          <w:color w:val="1A1A1A"/>
        </w:rPr>
        <w:t xml:space="preserve"> language represent</w:t>
      </w:r>
      <w:r>
        <w:rPr>
          <w:color w:val="1A1A1A"/>
        </w:rPr>
        <w:t>s</w:t>
      </w:r>
      <w:r w:rsidRPr="00310173">
        <w:rPr>
          <w:color w:val="1A1A1A"/>
        </w:rPr>
        <w:t xml:space="preserve"> a compromise that meet</w:t>
      </w:r>
      <w:r>
        <w:rPr>
          <w:color w:val="1A1A1A"/>
        </w:rPr>
        <w:t>s</w:t>
      </w:r>
      <w:r w:rsidRPr="00310173">
        <w:rPr>
          <w:color w:val="1A1A1A"/>
        </w:rPr>
        <w:t xml:space="preserve"> the scrutiny of the legal counsel and come</w:t>
      </w:r>
      <w:r>
        <w:rPr>
          <w:color w:val="1A1A1A"/>
        </w:rPr>
        <w:t>s</w:t>
      </w:r>
      <w:r w:rsidRPr="00310173">
        <w:rPr>
          <w:color w:val="1A1A1A"/>
        </w:rPr>
        <w:t xml:space="preserve"> </w:t>
      </w:r>
      <w:r w:rsidRPr="00310173">
        <w:rPr>
          <w:color w:val="1A1A1A"/>
        </w:rPr>
        <w:lastRenderedPageBreak/>
        <w:t>close</w:t>
      </w:r>
      <w:r>
        <w:rPr>
          <w:color w:val="1A1A1A"/>
        </w:rPr>
        <w:t>st</w:t>
      </w:r>
      <w:r w:rsidRPr="00310173">
        <w:rPr>
          <w:color w:val="1A1A1A"/>
        </w:rPr>
        <w:t xml:space="preserve"> to respecting the intent of the faculty as expressed in both existing handbook language and the revision of the passage on proportionality approved by the faculty in May 2014.  </w:t>
      </w:r>
    </w:p>
    <w:p w14:paraId="635B969F" w14:textId="77777777" w:rsidR="00310173" w:rsidRDefault="00310173"/>
    <w:p w14:paraId="4BAE309F" w14:textId="77777777" w:rsidR="00310173" w:rsidRDefault="00310173" w:rsidP="00310173">
      <w:pPr>
        <w:widowControl w:val="0"/>
        <w:autoSpaceDE w:val="0"/>
        <w:autoSpaceDN w:val="0"/>
        <w:adjustRightInd w:val="0"/>
        <w:spacing w:after="320"/>
        <w:rPr>
          <w:color w:val="1A1A1A"/>
        </w:rPr>
      </w:pPr>
      <w:r w:rsidRPr="00310173">
        <w:t xml:space="preserve">2) The Provost requested that </w:t>
      </w:r>
      <w:r w:rsidRPr="00310173">
        <w:rPr>
          <w:color w:val="1A1A1A"/>
        </w:rPr>
        <w:t>another passage in the Section 6 proposal</w:t>
      </w:r>
      <w:r>
        <w:rPr>
          <w:color w:val="1A1A1A"/>
        </w:rPr>
        <w:t xml:space="preserve"> be altered in order to bring the language into alignment with other parts of the handbook:</w:t>
      </w:r>
    </w:p>
    <w:p w14:paraId="748C1BF3" w14:textId="77777777" w:rsidR="00407112" w:rsidRDefault="00407112" w:rsidP="00407112">
      <w:pPr>
        <w:widowControl w:val="0"/>
        <w:autoSpaceDE w:val="0"/>
        <w:autoSpaceDN w:val="0"/>
        <w:adjustRightInd w:val="0"/>
        <w:rPr>
          <w:i/>
        </w:rPr>
      </w:pPr>
      <w:r w:rsidRPr="001A7CF0">
        <w:rPr>
          <w:i/>
        </w:rPr>
        <w:t>Faculty appointments may be full-time or part-time. The normal</w:t>
      </w:r>
      <w:r>
        <w:rPr>
          <w:i/>
        </w:rPr>
        <w:t xml:space="preserve"> load for one full-time faculty </w:t>
      </w:r>
      <w:r w:rsidRPr="001A7CF0">
        <w:rPr>
          <w:i/>
        </w:rPr>
        <w:t>member is referred to as one full-time equivalent (FTE). Faculty workload includes expectations</w:t>
      </w:r>
      <w:r>
        <w:rPr>
          <w:i/>
        </w:rPr>
        <w:t xml:space="preserve"> </w:t>
      </w:r>
      <w:r w:rsidRPr="001A7CF0">
        <w:rPr>
          <w:i/>
        </w:rPr>
        <w:t>beyond teaching that vary by position type. Typically the teaching component of one FTE</w:t>
      </w:r>
      <w:r>
        <w:rPr>
          <w:i/>
        </w:rPr>
        <w:t xml:space="preserve"> </w:t>
      </w:r>
      <w:r w:rsidRPr="001A7CF0">
        <w:rPr>
          <w:i/>
        </w:rPr>
        <w:t>corresponds to teaching six courses per year and thus FTE are often measured in sixths. Faculty</w:t>
      </w:r>
      <w:r>
        <w:rPr>
          <w:i/>
        </w:rPr>
        <w:t xml:space="preserve"> </w:t>
      </w:r>
      <w:r w:rsidRPr="001A7CF0">
        <w:rPr>
          <w:i/>
        </w:rPr>
        <w:t>members with significant non-teaching duties assigned by the College that extend well beyond the</w:t>
      </w:r>
      <w:r>
        <w:rPr>
          <w:i/>
        </w:rPr>
        <w:t xml:space="preserve"> </w:t>
      </w:r>
      <w:r w:rsidRPr="001A7CF0">
        <w:rPr>
          <w:i/>
        </w:rPr>
        <w:t>usual expectations for service or scholarship may be assigned reduced teaching duties. This is</w:t>
      </w:r>
      <w:r>
        <w:rPr>
          <w:i/>
        </w:rPr>
        <w:t xml:space="preserve"> </w:t>
      </w:r>
      <w:r w:rsidRPr="001A7CF0">
        <w:rPr>
          <w:i/>
        </w:rPr>
        <w:t>common, for example, for some Department Chairs and for some faculty in Special Appointments.</w:t>
      </w:r>
      <w:r>
        <w:rPr>
          <w:i/>
        </w:rPr>
        <w:t xml:space="preserve"> </w:t>
      </w:r>
      <w:r w:rsidRPr="001A7CF0">
        <w:rPr>
          <w:i/>
        </w:rPr>
        <w:t>Appointments of 5/6 FTE or greater are considered “full-time,” whereas appointments of less than</w:t>
      </w:r>
      <w:r>
        <w:rPr>
          <w:i/>
        </w:rPr>
        <w:t xml:space="preserve"> </w:t>
      </w:r>
      <w:r w:rsidRPr="001A7CF0">
        <w:rPr>
          <w:i/>
        </w:rPr>
        <w:t>5/6 FTE are considered “part-time.”</w:t>
      </w:r>
      <w:r>
        <w:rPr>
          <w:i/>
        </w:rPr>
        <w:t xml:space="preserve"> </w:t>
      </w:r>
      <w:r w:rsidRPr="00310173">
        <w:rPr>
          <w:color w:val="1A1A1A"/>
        </w:rPr>
        <w:t>(Section 6.1, Paragraph 4, version approved by faculty in May 2014)</w:t>
      </w:r>
    </w:p>
    <w:p w14:paraId="3E193176" w14:textId="77777777" w:rsidR="00407112" w:rsidRPr="001A7CF0" w:rsidRDefault="00407112" w:rsidP="00407112">
      <w:pPr>
        <w:widowControl w:val="0"/>
        <w:autoSpaceDE w:val="0"/>
        <w:autoSpaceDN w:val="0"/>
        <w:adjustRightInd w:val="0"/>
        <w:rPr>
          <w:i/>
        </w:rPr>
      </w:pPr>
    </w:p>
    <w:p w14:paraId="678B6331" w14:textId="77777777" w:rsidR="00407112" w:rsidRDefault="00407112" w:rsidP="00407112">
      <w:pPr>
        <w:widowControl w:val="0"/>
        <w:autoSpaceDE w:val="0"/>
        <w:autoSpaceDN w:val="0"/>
        <w:adjustRightInd w:val="0"/>
        <w:rPr>
          <w:color w:val="1A1A1A"/>
        </w:rPr>
      </w:pPr>
      <w:r>
        <w:rPr>
          <w:color w:val="1A1A1A"/>
        </w:rPr>
        <w:t>PPC proposed—and the Faculty Senate approved—the following replacement language:</w:t>
      </w:r>
    </w:p>
    <w:p w14:paraId="69693B25" w14:textId="77777777" w:rsidR="00407112" w:rsidRDefault="00407112" w:rsidP="00407112">
      <w:pPr>
        <w:widowControl w:val="0"/>
        <w:autoSpaceDE w:val="0"/>
        <w:autoSpaceDN w:val="0"/>
        <w:adjustRightInd w:val="0"/>
        <w:rPr>
          <w:rFonts w:ascii="Arial" w:hAnsi="Arial" w:cs="Arial"/>
          <w:color w:val="1A1A1A"/>
          <w:sz w:val="26"/>
          <w:szCs w:val="26"/>
        </w:rPr>
      </w:pPr>
    </w:p>
    <w:p w14:paraId="050EED4F" w14:textId="77777777" w:rsidR="00407112" w:rsidRPr="00917D0F" w:rsidRDefault="00407112" w:rsidP="00407112">
      <w:pPr>
        <w:widowControl w:val="0"/>
        <w:autoSpaceDE w:val="0"/>
        <w:autoSpaceDN w:val="0"/>
        <w:adjustRightInd w:val="0"/>
        <w:rPr>
          <w:color w:val="1A1A1A"/>
        </w:rPr>
      </w:pPr>
      <w:r w:rsidRPr="00917D0F">
        <w:rPr>
          <w:i/>
        </w:rPr>
        <w:t>Faculty appointments may be full-time or part-time. The normal load for one full-time faculty member is referred to as one full-time equivalent (FTE). Faculty workload includes expectations beyond teaching that vary by position type</w:t>
      </w:r>
      <w:r w:rsidRPr="00407112">
        <w:rPr>
          <w:i/>
        </w:rPr>
        <w:t xml:space="preserve">. </w:t>
      </w:r>
      <w:r w:rsidRPr="00B33A97">
        <w:rPr>
          <w:i/>
          <w:iCs/>
          <w:color w:val="1A1A1A"/>
          <w:highlight w:val="yellow"/>
        </w:rPr>
        <w:t>Typically, the teaching component of one full</w:t>
      </w:r>
      <w:r w:rsidRPr="00917D0F">
        <w:rPr>
          <w:i/>
          <w:iCs/>
          <w:color w:val="1A1A1A"/>
          <w:highlight w:val="yellow"/>
        </w:rPr>
        <w:t xml:space="preserve">-time faculty FTE consists of 6 courses per year: the instructional component of full-time faculty FTE is thus often measured in sixths.  Given Augsburg's commitment to a holistic model for full-time faculty, the tenure track faculty workload includes not only teaching but also scholarship, and all </w:t>
      </w:r>
      <w:proofErr w:type="gramStart"/>
      <w:r w:rsidRPr="00917D0F">
        <w:rPr>
          <w:i/>
          <w:iCs/>
          <w:color w:val="1A1A1A"/>
          <w:highlight w:val="yellow"/>
        </w:rPr>
        <w:t>faculty</w:t>
      </w:r>
      <w:proofErr w:type="gramEnd"/>
      <w:r w:rsidRPr="00917D0F">
        <w:rPr>
          <w:i/>
          <w:iCs/>
          <w:color w:val="1A1A1A"/>
          <w:highlight w:val="yellow"/>
        </w:rPr>
        <w:t xml:space="preserve"> are expected to participate in service, advising, and in shared governance, as appropriate to the specific position.</w:t>
      </w:r>
      <w:r>
        <w:rPr>
          <w:i/>
          <w:iCs/>
          <w:color w:val="1A1A1A"/>
        </w:rPr>
        <w:t xml:space="preserve"> </w:t>
      </w:r>
      <w:r w:rsidRPr="001A7CF0">
        <w:rPr>
          <w:i/>
        </w:rPr>
        <w:t>Faculty</w:t>
      </w:r>
      <w:r>
        <w:rPr>
          <w:i/>
        </w:rPr>
        <w:t xml:space="preserve"> </w:t>
      </w:r>
      <w:r w:rsidRPr="001A7CF0">
        <w:rPr>
          <w:i/>
        </w:rPr>
        <w:t>members with significant non-teaching duties assigned by the College that extend well beyond the</w:t>
      </w:r>
      <w:r>
        <w:rPr>
          <w:i/>
        </w:rPr>
        <w:t xml:space="preserve"> </w:t>
      </w:r>
      <w:r w:rsidRPr="001A7CF0">
        <w:rPr>
          <w:i/>
        </w:rPr>
        <w:t>usual expectations for service or scholarship may be assigned reduced teaching duties. This is</w:t>
      </w:r>
      <w:r>
        <w:rPr>
          <w:i/>
        </w:rPr>
        <w:t xml:space="preserve"> </w:t>
      </w:r>
      <w:r w:rsidRPr="001A7CF0">
        <w:rPr>
          <w:i/>
        </w:rPr>
        <w:t>common, for example, for some Department Chairs and for some faculty in Special Appointments.</w:t>
      </w:r>
      <w:r>
        <w:rPr>
          <w:i/>
        </w:rPr>
        <w:t xml:space="preserve"> </w:t>
      </w:r>
      <w:r w:rsidRPr="001A7CF0">
        <w:rPr>
          <w:i/>
        </w:rPr>
        <w:t>Appointments of 5/6 FTE or greater are considered “full-time,” whereas appointments of less than</w:t>
      </w:r>
      <w:r>
        <w:rPr>
          <w:i/>
        </w:rPr>
        <w:t xml:space="preserve"> </w:t>
      </w:r>
      <w:r w:rsidRPr="001A7CF0">
        <w:rPr>
          <w:i/>
        </w:rPr>
        <w:t>5/6 FTE are considered “part-time.”</w:t>
      </w:r>
    </w:p>
    <w:p w14:paraId="28B2B4A3" w14:textId="77777777" w:rsidR="00310173" w:rsidRPr="00310173" w:rsidRDefault="00310173" w:rsidP="00310173">
      <w:pPr>
        <w:widowControl w:val="0"/>
        <w:autoSpaceDE w:val="0"/>
        <w:autoSpaceDN w:val="0"/>
        <w:adjustRightInd w:val="0"/>
        <w:rPr>
          <w:color w:val="1A1A1A"/>
        </w:rPr>
      </w:pPr>
    </w:p>
    <w:p w14:paraId="6AC888E2" w14:textId="77777777" w:rsidR="00310173" w:rsidRDefault="00310173"/>
    <w:sectPr w:rsidR="00310173" w:rsidSect="00997D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4F2"/>
    <w:rsid w:val="0015401A"/>
    <w:rsid w:val="002C5718"/>
    <w:rsid w:val="00310173"/>
    <w:rsid w:val="003F5D97"/>
    <w:rsid w:val="00407112"/>
    <w:rsid w:val="004920D7"/>
    <w:rsid w:val="004B64F2"/>
    <w:rsid w:val="00513657"/>
    <w:rsid w:val="005C416E"/>
    <w:rsid w:val="0093397A"/>
    <w:rsid w:val="00997DA4"/>
    <w:rsid w:val="00B33A97"/>
    <w:rsid w:val="00D663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B192E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764</Words>
  <Characters>4361</Characters>
  <Application>Microsoft Macintosh Word</Application>
  <DocSecurity>0</DocSecurity>
  <Lines>36</Lines>
  <Paragraphs>10</Paragraphs>
  <ScaleCrop>false</ScaleCrop>
  <Company>Augsburg College</Company>
  <LinksUpToDate>false</LinksUpToDate>
  <CharactersWithSpaces>5115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dc:creator>
  <cp:keywords/>
  <dc:description/>
  <cp:lastModifiedBy>Information Technology</cp:lastModifiedBy>
  <cp:revision>8</cp:revision>
  <dcterms:created xsi:type="dcterms:W3CDTF">2014-12-12T02:47:00Z</dcterms:created>
  <dcterms:modified xsi:type="dcterms:W3CDTF">2014-12-12T03:37:00Z</dcterms:modified>
</cp:coreProperties>
</file>