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CD" w:rsidRDefault="004057CD" w:rsidP="004057CD">
      <w:pPr>
        <w:pStyle w:val="normal0"/>
        <w:jc w:val="center"/>
        <w:rPr>
          <w:rFonts w:ascii="Times New Roman" w:hAnsi="Times New Roman" w:cs="Times New Roman"/>
          <w:sz w:val="24"/>
          <w:szCs w:val="24"/>
        </w:rPr>
      </w:pPr>
      <w:r>
        <w:rPr>
          <w:rFonts w:ascii="Times New Roman" w:hAnsi="Times New Roman" w:cs="Times New Roman"/>
          <w:sz w:val="24"/>
          <w:szCs w:val="24"/>
        </w:rPr>
        <w:t>Faculty Senate Response to Governance Task Forc</w:t>
      </w:r>
      <w:bookmarkStart w:id="0" w:name="_GoBack"/>
      <w:bookmarkEnd w:id="0"/>
      <w:r>
        <w:rPr>
          <w:rFonts w:ascii="Times New Roman" w:hAnsi="Times New Roman" w:cs="Times New Roman"/>
          <w:sz w:val="24"/>
          <w:szCs w:val="24"/>
        </w:rPr>
        <w:t>e Report</w:t>
      </w:r>
    </w:p>
    <w:p w:rsidR="004057CD" w:rsidRDefault="004057CD" w:rsidP="004057CD">
      <w:pPr>
        <w:pStyle w:val="normal0"/>
        <w:jc w:val="center"/>
        <w:rPr>
          <w:rFonts w:ascii="Times New Roman" w:hAnsi="Times New Roman" w:cs="Times New Roman"/>
          <w:sz w:val="24"/>
          <w:szCs w:val="24"/>
        </w:rPr>
      </w:pPr>
      <w:r>
        <w:rPr>
          <w:rFonts w:ascii="Times New Roman" w:hAnsi="Times New Roman" w:cs="Times New Roman"/>
          <w:sz w:val="24"/>
          <w:szCs w:val="24"/>
        </w:rPr>
        <w:t>(7-30-14)</w:t>
      </w:r>
    </w:p>
    <w:p w:rsidR="004057CD" w:rsidRDefault="004057CD" w:rsidP="00F7017B">
      <w:pPr>
        <w:pStyle w:val="normal0"/>
        <w:rPr>
          <w:rFonts w:ascii="Times New Roman" w:hAnsi="Times New Roman" w:cs="Times New Roman"/>
          <w:sz w:val="24"/>
          <w:szCs w:val="24"/>
        </w:rPr>
      </w:pPr>
    </w:p>
    <w:p w:rsidR="00F7017B" w:rsidRPr="004370DD" w:rsidRDefault="00F7017B" w:rsidP="00F7017B">
      <w:pPr>
        <w:pStyle w:val="normal0"/>
        <w:rPr>
          <w:rFonts w:ascii="Times New Roman" w:hAnsi="Times New Roman" w:cs="Times New Roman"/>
          <w:sz w:val="24"/>
          <w:szCs w:val="24"/>
        </w:rPr>
      </w:pPr>
      <w:r w:rsidRPr="004370DD">
        <w:rPr>
          <w:rFonts w:ascii="Times New Roman" w:hAnsi="Times New Roman" w:cs="Times New Roman"/>
          <w:sz w:val="24"/>
          <w:szCs w:val="24"/>
        </w:rPr>
        <w:t>The Faculty Senate appreciates the Governance Task Force Report’s insights</w:t>
      </w:r>
      <w:r w:rsidR="004370DD">
        <w:rPr>
          <w:rFonts w:ascii="Times New Roman" w:hAnsi="Times New Roman" w:cs="Times New Roman"/>
          <w:sz w:val="24"/>
          <w:szCs w:val="24"/>
        </w:rPr>
        <w:t>, though it remains troubled by its provenance</w:t>
      </w:r>
      <w:r w:rsidRPr="004370DD">
        <w:rPr>
          <w:rFonts w:ascii="Times New Roman" w:hAnsi="Times New Roman" w:cs="Times New Roman"/>
          <w:sz w:val="24"/>
          <w:szCs w:val="24"/>
        </w:rPr>
        <w:t xml:space="preserve">.  We also embrace its identification of three central issues in governance at the college: trust, communication, and governance.  We are excited to move forward and to address these issues directly and have already taken steps to do so.  </w:t>
      </w:r>
      <w:r w:rsidR="004370DD">
        <w:rPr>
          <w:rFonts w:ascii="Times New Roman" w:hAnsi="Times New Roman" w:cs="Times New Roman"/>
          <w:sz w:val="24"/>
          <w:szCs w:val="24"/>
        </w:rPr>
        <w:t>The Faculty Senate offers the following responses to the report, divided according to the report’s own categories:</w:t>
      </w:r>
    </w:p>
    <w:p w:rsidR="00F7017B" w:rsidRPr="004370DD" w:rsidRDefault="00F7017B" w:rsidP="00F7017B">
      <w:pPr>
        <w:pStyle w:val="normal0"/>
        <w:rPr>
          <w:rFonts w:ascii="Times New Roman" w:hAnsi="Times New Roman" w:cs="Times New Roman"/>
          <w:sz w:val="24"/>
          <w:szCs w:val="24"/>
        </w:rPr>
      </w:pPr>
    </w:p>
    <w:p w:rsidR="00F7017B" w:rsidRPr="004370DD" w:rsidRDefault="00F7017B" w:rsidP="00F7017B">
      <w:pPr>
        <w:pStyle w:val="normal0"/>
        <w:rPr>
          <w:rFonts w:ascii="Times New Roman" w:hAnsi="Times New Roman" w:cs="Times New Roman"/>
          <w:sz w:val="24"/>
          <w:szCs w:val="24"/>
        </w:rPr>
      </w:pPr>
    </w:p>
    <w:p w:rsidR="00F7017B" w:rsidRPr="004370DD" w:rsidRDefault="00F7017B" w:rsidP="00F7017B">
      <w:pPr>
        <w:pStyle w:val="normal0"/>
        <w:ind w:left="720"/>
        <w:rPr>
          <w:rFonts w:ascii="Times New Roman" w:hAnsi="Times New Roman" w:cs="Times New Roman"/>
          <w:b/>
          <w:sz w:val="24"/>
          <w:szCs w:val="24"/>
        </w:rPr>
      </w:pPr>
      <w:r w:rsidRPr="004370DD">
        <w:rPr>
          <w:rFonts w:ascii="Times New Roman" w:hAnsi="Times New Roman" w:cs="Times New Roman"/>
          <w:b/>
          <w:sz w:val="24"/>
          <w:szCs w:val="24"/>
          <w:u w:val="single"/>
        </w:rPr>
        <w:t>Trust</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 </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1) The Faculty Senate endorses best practices in college governance, as expressed in guidelines created by the American Association of University Professors as well as the Association of Governing Boards.  We remain committed to working through existing governance structures to create any changes to governance.  Whenever the Board of Regents, administration, or faculty deems ad-hoc committees and task forces necessary, they should be formed only after formal consultation with existing governance bodies.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 </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2) We reiterate that faculty, as the educational agents of the Board of Regents, as the group with primary and fundamental responsibility for the central aspects of the college's mission, and as the body charged with health and maintenance of the academic program that fulfills the mission, hold a distinct status among the many constituencies of the Augsburg community. Any form of governance deployed at the College needs to reflect this</w:t>
      </w:r>
      <w:r w:rsidR="004370DD">
        <w:rPr>
          <w:rFonts w:ascii="Times New Roman" w:hAnsi="Times New Roman" w:cs="Times New Roman"/>
          <w:sz w:val="24"/>
          <w:szCs w:val="24"/>
        </w:rPr>
        <w:t xml:space="preserve"> central role</w:t>
      </w:r>
      <w:r w:rsidRPr="004370DD">
        <w:rPr>
          <w:rFonts w:ascii="Times New Roman" w:hAnsi="Times New Roman" w:cs="Times New Roman"/>
          <w:sz w:val="24"/>
          <w:szCs w:val="24"/>
        </w:rPr>
        <w:t>.  Meantime, we will redouble our efforts to embrace the responsibilities made clear in the Faculty Handbook, the by laws of the College, and the College’s Constitution.</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 </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3) The Faculty Senate recommends that, at their first meeting in September 2014, the full faculty deliberate on the final version of the Governance Task Force Report.  The faculty may approve it (with or without comment and/or qualifications), receive it (with or without comment and/or qualifications), reject it, or respond to it in other ways deemed suitable after careful consideration and deliberation.  The Faculty Senate will prepare, in advance of the meeting, a recommendation of which action the faculty should take.  </w:t>
      </w:r>
    </w:p>
    <w:p w:rsidR="00F7017B" w:rsidRPr="004370DD" w:rsidRDefault="00F7017B" w:rsidP="00F7017B">
      <w:pPr>
        <w:pStyle w:val="normal0"/>
        <w:ind w:left="720"/>
        <w:rPr>
          <w:rFonts w:ascii="Times New Roman" w:hAnsi="Times New Roman" w:cs="Times New Roman"/>
          <w:sz w:val="24"/>
          <w:szCs w:val="24"/>
        </w:rPr>
      </w:pPr>
    </w:p>
    <w:p w:rsidR="00F7017B" w:rsidRPr="004370DD" w:rsidRDefault="00F7017B" w:rsidP="00F7017B">
      <w:pPr>
        <w:pStyle w:val="normal0"/>
        <w:ind w:left="720"/>
        <w:rPr>
          <w:rFonts w:ascii="Times New Roman" w:hAnsi="Times New Roman" w:cs="Times New Roman"/>
          <w:b/>
          <w:sz w:val="24"/>
          <w:szCs w:val="24"/>
        </w:rPr>
      </w:pPr>
      <w:r w:rsidRPr="004370DD">
        <w:rPr>
          <w:rFonts w:ascii="Times New Roman" w:hAnsi="Times New Roman" w:cs="Times New Roman"/>
          <w:b/>
          <w:sz w:val="24"/>
          <w:szCs w:val="24"/>
          <w:u w:val="single"/>
        </w:rPr>
        <w:t>Communication</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 </w:t>
      </w:r>
    </w:p>
    <w:p w:rsidR="004370DD" w:rsidRDefault="004370DD" w:rsidP="004370DD">
      <w:pPr>
        <w:pStyle w:val="normal0"/>
        <w:numPr>
          <w:ilvl w:val="0"/>
          <w:numId w:val="1"/>
        </w:numPr>
        <w:rPr>
          <w:rFonts w:ascii="Times New Roman" w:hAnsi="Times New Roman" w:cs="Times New Roman"/>
          <w:sz w:val="24"/>
          <w:szCs w:val="24"/>
        </w:rPr>
      </w:pPr>
      <w:r w:rsidRPr="004370DD">
        <w:rPr>
          <w:rFonts w:ascii="Times New Roman" w:hAnsi="Times New Roman" w:cs="Times New Roman"/>
          <w:sz w:val="24"/>
          <w:szCs w:val="24"/>
        </w:rPr>
        <w:t xml:space="preserve">Because the Faculty Senate needs to establish clear and unmediated lines of communication with the full faculty, the Faculty Senate president must always have unmediated access to the complete faculty email list.  </w:t>
      </w:r>
      <w:r w:rsidR="00F7017B" w:rsidRPr="004370DD">
        <w:rPr>
          <w:rFonts w:ascii="Times New Roman" w:hAnsi="Times New Roman" w:cs="Times New Roman"/>
          <w:sz w:val="24"/>
          <w:szCs w:val="24"/>
        </w:rPr>
        <w:t xml:space="preserve">The </w:t>
      </w:r>
      <w:r w:rsidRPr="004370DD">
        <w:rPr>
          <w:rFonts w:ascii="Times New Roman" w:hAnsi="Times New Roman" w:cs="Times New Roman"/>
          <w:sz w:val="24"/>
          <w:szCs w:val="24"/>
        </w:rPr>
        <w:t xml:space="preserve">faculty </w:t>
      </w:r>
      <w:r w:rsidR="00F7017B" w:rsidRPr="004370DD">
        <w:rPr>
          <w:rFonts w:ascii="Times New Roman" w:hAnsi="Times New Roman" w:cs="Times New Roman"/>
          <w:sz w:val="24"/>
          <w:szCs w:val="24"/>
        </w:rPr>
        <w:t xml:space="preserve">forums and email lists currently administered by college officers are insufficient. </w:t>
      </w:r>
      <w:r>
        <w:rPr>
          <w:rFonts w:ascii="Times New Roman" w:hAnsi="Times New Roman" w:cs="Times New Roman"/>
          <w:sz w:val="24"/>
          <w:szCs w:val="24"/>
        </w:rPr>
        <w:t xml:space="preserve"> </w:t>
      </w:r>
      <w:r w:rsidR="00F7017B" w:rsidRPr="004370DD">
        <w:rPr>
          <w:rFonts w:ascii="Times New Roman" w:hAnsi="Times New Roman" w:cs="Times New Roman"/>
          <w:sz w:val="24"/>
          <w:szCs w:val="24"/>
        </w:rPr>
        <w:t>Improved communication along these lines will foster careful and inclusive deliberation</w:t>
      </w:r>
      <w:r>
        <w:rPr>
          <w:rFonts w:ascii="Times New Roman" w:hAnsi="Times New Roman" w:cs="Times New Roman"/>
          <w:sz w:val="24"/>
          <w:szCs w:val="24"/>
        </w:rPr>
        <w:t xml:space="preserve"> by the faculty</w:t>
      </w:r>
      <w:r w:rsidR="00F7017B" w:rsidRPr="004370DD">
        <w:rPr>
          <w:rFonts w:ascii="Times New Roman" w:hAnsi="Times New Roman" w:cs="Times New Roman"/>
          <w:sz w:val="24"/>
          <w:szCs w:val="24"/>
        </w:rPr>
        <w:t xml:space="preserve">.  </w:t>
      </w:r>
    </w:p>
    <w:p w:rsidR="004370DD" w:rsidRDefault="004370DD" w:rsidP="004370DD">
      <w:pPr>
        <w:pStyle w:val="normal0"/>
        <w:ind w:left="1080"/>
        <w:rPr>
          <w:rFonts w:ascii="Times New Roman" w:hAnsi="Times New Roman" w:cs="Times New Roman"/>
          <w:sz w:val="24"/>
          <w:szCs w:val="24"/>
        </w:rPr>
      </w:pPr>
    </w:p>
    <w:p w:rsidR="004370DD" w:rsidRDefault="004370DD" w:rsidP="004370DD">
      <w:pPr>
        <w:pStyle w:val="normal0"/>
        <w:numPr>
          <w:ilvl w:val="0"/>
          <w:numId w:val="1"/>
        </w:numPr>
        <w:rPr>
          <w:rFonts w:ascii="Times New Roman" w:hAnsi="Times New Roman" w:cs="Times New Roman"/>
          <w:sz w:val="24"/>
          <w:szCs w:val="24"/>
        </w:rPr>
      </w:pPr>
      <w:r>
        <w:rPr>
          <w:rFonts w:ascii="Times New Roman" w:hAnsi="Times New Roman" w:cs="Times New Roman"/>
          <w:sz w:val="24"/>
          <w:szCs w:val="24"/>
        </w:rPr>
        <w:t>In order to make the</w:t>
      </w:r>
      <w:r w:rsidRPr="004370DD">
        <w:rPr>
          <w:rFonts w:ascii="Times New Roman" w:hAnsi="Times New Roman" w:cs="Times New Roman"/>
          <w:sz w:val="24"/>
          <w:szCs w:val="24"/>
        </w:rPr>
        <w:t xml:space="preserve"> many forms of information about college affairs provided by the administration more useful, the Faculty Senate requests considerations of </w:t>
      </w:r>
      <w:r>
        <w:rPr>
          <w:rFonts w:ascii="Times New Roman" w:hAnsi="Times New Roman" w:cs="Times New Roman"/>
          <w:sz w:val="24"/>
          <w:szCs w:val="24"/>
        </w:rPr>
        <w:t xml:space="preserve">both time constraints and the many other </w:t>
      </w:r>
      <w:r w:rsidR="002B41C4">
        <w:rPr>
          <w:rFonts w:ascii="Times New Roman" w:hAnsi="Times New Roman" w:cs="Times New Roman"/>
          <w:sz w:val="24"/>
          <w:szCs w:val="24"/>
        </w:rPr>
        <w:t>tasks faculty engage in throughout the year</w:t>
      </w:r>
      <w:r w:rsidRPr="004370DD">
        <w:rPr>
          <w:rFonts w:ascii="Times New Roman" w:hAnsi="Times New Roman" w:cs="Times New Roman"/>
          <w:sz w:val="24"/>
          <w:szCs w:val="24"/>
        </w:rPr>
        <w:t xml:space="preserve">. The mere presentation of information </w:t>
      </w:r>
      <w:r w:rsidR="002B41C4">
        <w:rPr>
          <w:rFonts w:ascii="Times New Roman" w:hAnsi="Times New Roman" w:cs="Times New Roman"/>
          <w:sz w:val="24"/>
          <w:szCs w:val="24"/>
        </w:rPr>
        <w:t xml:space="preserve">to an audience should not be mistaken for inclusion and input.  </w:t>
      </w:r>
      <w:r w:rsidRPr="004370DD">
        <w:rPr>
          <w:rFonts w:ascii="Times New Roman" w:hAnsi="Times New Roman" w:cs="Times New Roman"/>
          <w:sz w:val="24"/>
          <w:szCs w:val="24"/>
        </w:rPr>
        <w:t xml:space="preserve">That information must be put in service to timely deliberation in order to </w:t>
      </w:r>
      <w:r w:rsidR="002B41C4">
        <w:rPr>
          <w:rFonts w:ascii="Times New Roman" w:hAnsi="Times New Roman" w:cs="Times New Roman"/>
          <w:sz w:val="24"/>
          <w:szCs w:val="24"/>
        </w:rPr>
        <w:t>promote true inclusion.  Care taken on this point will reduce inefficiencies in governance processes.</w:t>
      </w:r>
    </w:p>
    <w:p w:rsidR="002B41C4" w:rsidRDefault="002B41C4" w:rsidP="002B41C4">
      <w:pPr>
        <w:pStyle w:val="normal0"/>
        <w:rPr>
          <w:rFonts w:ascii="Times New Roman" w:hAnsi="Times New Roman" w:cs="Times New Roman"/>
          <w:sz w:val="24"/>
          <w:szCs w:val="24"/>
        </w:rPr>
      </w:pPr>
    </w:p>
    <w:p w:rsidR="00F7017B" w:rsidRDefault="002B41C4" w:rsidP="002B41C4">
      <w:pPr>
        <w:pStyle w:val="normal0"/>
        <w:numPr>
          <w:ilvl w:val="0"/>
          <w:numId w:val="1"/>
        </w:numPr>
        <w:rPr>
          <w:rFonts w:ascii="Times New Roman" w:hAnsi="Times New Roman" w:cs="Times New Roman"/>
          <w:sz w:val="24"/>
          <w:szCs w:val="24"/>
        </w:rPr>
      </w:pPr>
      <w:r w:rsidRPr="004370DD">
        <w:rPr>
          <w:rFonts w:ascii="Times New Roman" w:hAnsi="Times New Roman" w:cs="Times New Roman"/>
          <w:sz w:val="24"/>
          <w:szCs w:val="24"/>
        </w:rPr>
        <w:t>The Governance Task Force Report suggests new models, like the “flipped” meeting, for the monthly faculty meeting, to which we are open.  In consultation with the Provost, the Faculty Senate will set meeting agendas and structures.  It will work</w:t>
      </w:r>
      <w:r>
        <w:rPr>
          <w:rFonts w:ascii="Times New Roman" w:hAnsi="Times New Roman" w:cs="Times New Roman"/>
          <w:sz w:val="24"/>
          <w:szCs w:val="24"/>
        </w:rPr>
        <w:t xml:space="preserve"> with the</w:t>
      </w:r>
      <w:r w:rsidRPr="004370DD">
        <w:rPr>
          <w:rFonts w:ascii="Times New Roman" w:hAnsi="Times New Roman" w:cs="Times New Roman"/>
          <w:sz w:val="24"/>
          <w:szCs w:val="24"/>
        </w:rPr>
        <w:t xml:space="preserve"> Faculty Pa</w:t>
      </w:r>
      <w:r>
        <w:rPr>
          <w:rFonts w:ascii="Times New Roman" w:hAnsi="Times New Roman" w:cs="Times New Roman"/>
          <w:sz w:val="24"/>
          <w:szCs w:val="24"/>
        </w:rPr>
        <w:t>rliamentarian on</w:t>
      </w:r>
      <w:r w:rsidRPr="004370DD">
        <w:rPr>
          <w:rFonts w:ascii="Times New Roman" w:hAnsi="Times New Roman" w:cs="Times New Roman"/>
          <w:sz w:val="24"/>
          <w:szCs w:val="24"/>
        </w:rPr>
        <w:t xml:space="preserve"> ways to make the meeting more inclusive and deliberative.</w:t>
      </w:r>
    </w:p>
    <w:p w:rsidR="002B41C4" w:rsidRDefault="002B41C4" w:rsidP="002B41C4">
      <w:pPr>
        <w:pStyle w:val="normal0"/>
        <w:rPr>
          <w:rFonts w:ascii="Times New Roman" w:hAnsi="Times New Roman" w:cs="Times New Roman"/>
          <w:sz w:val="24"/>
          <w:szCs w:val="24"/>
        </w:rPr>
      </w:pPr>
    </w:p>
    <w:p w:rsidR="002B41C4" w:rsidRPr="002B41C4" w:rsidRDefault="002B41C4" w:rsidP="002B41C4">
      <w:pPr>
        <w:pStyle w:val="normal0"/>
        <w:numPr>
          <w:ilvl w:val="0"/>
          <w:numId w:val="1"/>
        </w:numPr>
        <w:rPr>
          <w:rFonts w:ascii="Times New Roman" w:hAnsi="Times New Roman" w:cs="Times New Roman"/>
          <w:sz w:val="24"/>
          <w:szCs w:val="24"/>
        </w:rPr>
      </w:pPr>
      <w:r w:rsidRPr="004370DD">
        <w:rPr>
          <w:rFonts w:ascii="Times New Roman" w:hAnsi="Times New Roman" w:cs="Times New Roman"/>
          <w:sz w:val="24"/>
          <w:szCs w:val="24"/>
        </w:rPr>
        <w:t xml:space="preserve">In order to work more effectively together and to enhance direct communication and trust, the Faculty Senate </w:t>
      </w:r>
      <w:r>
        <w:rPr>
          <w:rFonts w:ascii="Times New Roman" w:hAnsi="Times New Roman" w:cs="Times New Roman"/>
          <w:sz w:val="24"/>
          <w:szCs w:val="24"/>
        </w:rPr>
        <w:t>requests the creation of</w:t>
      </w:r>
      <w:r w:rsidRPr="004370DD">
        <w:rPr>
          <w:rFonts w:ascii="Times New Roman" w:hAnsi="Times New Roman" w:cs="Times New Roman"/>
          <w:sz w:val="24"/>
          <w:szCs w:val="24"/>
        </w:rPr>
        <w:t xml:space="preserve"> a once-a-semester standing meeting with the Academic Affairs Committee of the Board of Regents</w:t>
      </w:r>
      <w:r>
        <w:rPr>
          <w:rFonts w:ascii="Times New Roman" w:hAnsi="Times New Roman" w:cs="Times New Roman"/>
          <w:sz w:val="24"/>
          <w:szCs w:val="24"/>
        </w:rPr>
        <w:t>,</w:t>
      </w:r>
      <w:r w:rsidRPr="004370DD">
        <w:rPr>
          <w:rFonts w:ascii="Times New Roman" w:hAnsi="Times New Roman" w:cs="Times New Roman"/>
          <w:sz w:val="24"/>
          <w:szCs w:val="24"/>
        </w:rPr>
        <w:t xml:space="preserve"> a once-a-semester meeti</w:t>
      </w:r>
      <w:r>
        <w:rPr>
          <w:rFonts w:ascii="Times New Roman" w:hAnsi="Times New Roman" w:cs="Times New Roman"/>
          <w:sz w:val="24"/>
          <w:szCs w:val="24"/>
        </w:rPr>
        <w:t>ng with the President’s Cabinet, and the permanent inclusion of the Faculty Senate President on the President’s Cabinet.</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 </w:t>
      </w:r>
    </w:p>
    <w:p w:rsidR="00F7017B" w:rsidRPr="004370DD" w:rsidRDefault="00F7017B" w:rsidP="00F7017B">
      <w:pPr>
        <w:pStyle w:val="normal0"/>
        <w:ind w:left="720"/>
        <w:rPr>
          <w:rFonts w:ascii="Times New Roman" w:hAnsi="Times New Roman" w:cs="Times New Roman"/>
          <w:sz w:val="24"/>
          <w:szCs w:val="24"/>
        </w:rPr>
      </w:pPr>
    </w:p>
    <w:p w:rsidR="00F7017B" w:rsidRPr="004370DD" w:rsidRDefault="00F7017B" w:rsidP="00F7017B">
      <w:pPr>
        <w:pStyle w:val="normal0"/>
        <w:ind w:left="720"/>
        <w:rPr>
          <w:rFonts w:ascii="Times New Roman" w:hAnsi="Times New Roman" w:cs="Times New Roman"/>
          <w:b/>
          <w:sz w:val="24"/>
          <w:szCs w:val="24"/>
        </w:rPr>
      </w:pPr>
      <w:r w:rsidRPr="004370DD">
        <w:rPr>
          <w:rFonts w:ascii="Times New Roman" w:hAnsi="Times New Roman" w:cs="Times New Roman"/>
          <w:b/>
          <w:sz w:val="24"/>
          <w:szCs w:val="24"/>
          <w:u w:val="single"/>
        </w:rPr>
        <w:t>Organization</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 </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1) The Faculty Senate continues to work toward (and calls on the administration for support so that it may display) the “traits of effective Senates” identified by the American Association for Higher Education’s National Network of Faculty Senates (</w:t>
      </w:r>
      <w:hyperlink r:id="rId5">
        <w:r w:rsidRPr="004370DD">
          <w:rPr>
            <w:rFonts w:ascii="Times New Roman" w:hAnsi="Times New Roman" w:cs="Times New Roman"/>
            <w:color w:val="1155CC"/>
            <w:sz w:val="24"/>
            <w:szCs w:val="24"/>
            <w:u w:val="single"/>
          </w:rPr>
          <w:t>http://www.aaup.org/NR/rdonlyres/4EC2E3B8-3A09-4D39-AC6D-BDE365AD6331/0/Traits.pdf</w:t>
        </w:r>
      </w:hyperlink>
      <w:r w:rsidRPr="004370DD">
        <w:rPr>
          <w:rFonts w:ascii="Times New Roman" w:hAnsi="Times New Roman" w:cs="Times New Roman"/>
          <w:sz w:val="24"/>
          <w:szCs w:val="24"/>
        </w:rPr>
        <w:t>).  These traits include:</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 </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-Permanent office space, files, archives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-Annual budget (travel, telephone, computer, supplies, etc.)</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-Secretarial assistance</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-Adjusted workload for officers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-Regular meetings with college president</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-Consulted on creation of all non-Senate committees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-Senate president presides at senate meetings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-Bylaws specify areas where senate decisions are normally determinative, co-determinative, or advisory</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-Meetings and activities advertised in advance and records of actions widely published</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-Attracts both junior and senior faculty who are esteemed as academic leaders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-Is regarded by the campus as dealing with crucial issues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-Has effective representation on other key governance groups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-Senate leadership visible in the ceremonial and symbolic affairs of the campus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-Initiates a major portion of its agenda items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-Defends the core values of academic freedom, determines curriculum</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-Provides an effective forum for controversial issues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-Is seen as an agent for necessary institutional change</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-Grounds its practices in parliamentary principles and published and endorse</w:t>
      </w:r>
      <w:r w:rsidR="002B41C4">
        <w:rPr>
          <w:rFonts w:ascii="Times New Roman" w:hAnsi="Times New Roman" w:cs="Times New Roman"/>
          <w:sz w:val="24"/>
          <w:szCs w:val="24"/>
        </w:rPr>
        <w:t>d</w:t>
      </w:r>
      <w:r w:rsidRPr="004370DD">
        <w:rPr>
          <w:rFonts w:ascii="Times New Roman" w:hAnsi="Times New Roman" w:cs="Times New Roman"/>
          <w:sz w:val="24"/>
          <w:szCs w:val="24"/>
        </w:rPr>
        <w:t xml:space="preserve"> principles of governance</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 </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2) The Faculty Senate will proactively respond to the Governance Task Force Report’s call for changes to the faculty handbook by charging the Personnel Policies Committee (PPC) with its priorities and tasks for the 2014-2015 school year. It will meet with PPC in September 2014 and request that it draft or revise sections on program review (as required by the Higher Learning Accreditation Commission report) and on post-tenure review (outdated), and insure internal consistency throughout the handbook. This will require resources—including time and staff support for PPC members.</w:t>
      </w:r>
    </w:p>
    <w:p w:rsidR="00F7017B" w:rsidRPr="004370DD" w:rsidRDefault="00F7017B" w:rsidP="00F7017B">
      <w:pPr>
        <w:pStyle w:val="normal0"/>
        <w:ind w:left="720"/>
        <w:rPr>
          <w:rFonts w:ascii="Times New Roman" w:hAnsi="Times New Roman" w:cs="Times New Roman"/>
          <w:sz w:val="24"/>
          <w:szCs w:val="24"/>
        </w:rPr>
      </w:pP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3) In addition, in order to prioritize committee work and to make good use of already overtaxed human resources, the Senate itself will consider and discuss the viability and advisability of the GTF's other major recommendations regarding the Handbook before making a recommendation on them to PPC.  We may also wish to respond directly to the Board about them in light of our deliberations.</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 </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4) The Faculty Senate will review existing committee structures and charges and bring them into alignment with the faculty’s vision for the academic program as well as procedures outlined in the Faculty Handbook.  (For example, the chair of the Academic Affairs Committee should be elected by the faculty; the Equity committee and procedures need both to be reworked and made more visible to the broader faculty).</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 </w:t>
      </w:r>
    </w:p>
    <w:p w:rsidR="00F7017B" w:rsidRPr="004370DD" w:rsidRDefault="00F7017B" w:rsidP="00F7017B">
      <w:pPr>
        <w:pStyle w:val="normal0"/>
        <w:ind w:left="720"/>
        <w:rPr>
          <w:rFonts w:ascii="Times New Roman" w:hAnsi="Times New Roman" w:cs="Times New Roman"/>
          <w:sz w:val="24"/>
          <w:szCs w:val="24"/>
        </w:rPr>
      </w:pPr>
      <w:r w:rsidRPr="004370DD">
        <w:rPr>
          <w:rFonts w:ascii="Times New Roman" w:hAnsi="Times New Roman" w:cs="Times New Roman"/>
          <w:sz w:val="24"/>
          <w:szCs w:val="24"/>
        </w:rPr>
        <w:t xml:space="preserve">5) </w:t>
      </w:r>
      <w:r w:rsidR="002B41C4">
        <w:rPr>
          <w:rFonts w:ascii="Times New Roman" w:hAnsi="Times New Roman" w:cs="Times New Roman"/>
          <w:sz w:val="24"/>
          <w:szCs w:val="24"/>
        </w:rPr>
        <w:t>T</w:t>
      </w:r>
      <w:r w:rsidRPr="004370DD">
        <w:rPr>
          <w:rFonts w:ascii="Times New Roman" w:hAnsi="Times New Roman" w:cs="Times New Roman"/>
          <w:sz w:val="24"/>
          <w:szCs w:val="24"/>
        </w:rPr>
        <w:t xml:space="preserve">he Faculty Senate will continue to </w:t>
      </w:r>
      <w:r w:rsidR="002B41C4">
        <w:rPr>
          <w:rFonts w:ascii="Times New Roman" w:hAnsi="Times New Roman" w:cs="Times New Roman"/>
          <w:sz w:val="24"/>
          <w:szCs w:val="24"/>
        </w:rPr>
        <w:t>develop</w:t>
      </w:r>
      <w:r w:rsidRPr="004370DD">
        <w:rPr>
          <w:rFonts w:ascii="Times New Roman" w:hAnsi="Times New Roman" w:cs="Times New Roman"/>
          <w:sz w:val="24"/>
          <w:szCs w:val="24"/>
        </w:rPr>
        <w:t xml:space="preserve"> its new strategic </w:t>
      </w:r>
      <w:r w:rsidR="002B41C4">
        <w:rPr>
          <w:rFonts w:ascii="Times New Roman" w:hAnsi="Times New Roman" w:cs="Times New Roman"/>
          <w:sz w:val="24"/>
          <w:szCs w:val="24"/>
        </w:rPr>
        <w:t>vision for the academic program, coordinating that work with the Provost’s efforts to do the same.</w:t>
      </w:r>
    </w:p>
    <w:p w:rsidR="004920D7" w:rsidRPr="004370DD" w:rsidRDefault="004920D7"/>
    <w:sectPr w:rsidR="004920D7" w:rsidRPr="004370DD" w:rsidSect="00997DA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B29A8"/>
    <w:multiLevelType w:val="hybridMultilevel"/>
    <w:tmpl w:val="FD541A8E"/>
    <w:lvl w:ilvl="0" w:tplc="D1BA7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doNotTrackMoves/>
  <w:defaultTabStop w:val="720"/>
  <w:characterSpacingControl w:val="doNotCompress"/>
  <w:savePreviewPicture/>
  <w:compat>
    <w:useFELayout/>
  </w:compat>
  <w:rsids>
    <w:rsidRoot w:val="00F7017B"/>
    <w:rsid w:val="00050306"/>
    <w:rsid w:val="000D7A1E"/>
    <w:rsid w:val="002B41C4"/>
    <w:rsid w:val="004057CD"/>
    <w:rsid w:val="004370DD"/>
    <w:rsid w:val="004920D7"/>
    <w:rsid w:val="00770A3A"/>
    <w:rsid w:val="00997DA4"/>
    <w:rsid w:val="00A039E1"/>
    <w:rsid w:val="00D31476"/>
    <w:rsid w:val="00D663C4"/>
    <w:rsid w:val="00F7017B"/>
  </w:rsids>
  <m:mathPr>
    <m:mathFont m:val="Abadi MT Condensed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A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F7017B"/>
    <w:pPr>
      <w:spacing w:line="276" w:lineRule="auto"/>
    </w:pPr>
    <w:rPr>
      <w:rFonts w:ascii="Arial" w:eastAsia="Arial" w:hAnsi="Arial" w:cs="Arial"/>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7017B"/>
    <w:pPr>
      <w:spacing w:line="276" w:lineRule="auto"/>
    </w:pPr>
    <w:rPr>
      <w:rFonts w:ascii="Arial" w:eastAsia="Arial" w:hAnsi="Arial" w:cs="Arial"/>
      <w:color w:val="000000"/>
      <w:sz w:val="22"/>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aup.org/NR/rdonlyres/4EC2E3B8-3A09-4D39-AC6D-BDE365AD6331/0/Traits.pdf"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5787</Characters>
  <Application>Microsoft Macintosh Word</Application>
  <DocSecurity>0</DocSecurity>
  <Lines>48</Lines>
  <Paragraphs>11</Paragraphs>
  <ScaleCrop>false</ScaleCrop>
  <Company>Augsburg College</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Jillian Bekke</cp:lastModifiedBy>
  <cp:revision>2</cp:revision>
  <dcterms:created xsi:type="dcterms:W3CDTF">2014-10-11T23:53:00Z</dcterms:created>
  <dcterms:modified xsi:type="dcterms:W3CDTF">2014-10-11T23:53:00Z</dcterms:modified>
</cp:coreProperties>
</file>