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964" w:rsidRPr="007C76BB" w:rsidRDefault="00977964" w:rsidP="00A52259">
      <w:pPr>
        <w:pStyle w:val="NoSpacing"/>
      </w:pPr>
      <w:bookmarkStart w:id="0" w:name="_GoBack"/>
      <w:bookmarkEnd w:id="0"/>
      <w:r w:rsidRPr="007C76BB">
        <w:br/>
      </w:r>
    </w:p>
    <w:p w:rsidR="00977964" w:rsidRPr="007C76BB" w:rsidRDefault="00977964" w:rsidP="00A52259">
      <w:pPr>
        <w:pStyle w:val="NoSpacing"/>
        <w:ind w:firstLine="720"/>
        <w:jc w:val="center"/>
      </w:pPr>
      <w:r w:rsidRPr="007C76BB">
        <w:rPr>
          <w:bCs/>
          <w:color w:val="000000"/>
          <w:u w:val="single"/>
        </w:rPr>
        <w:t xml:space="preserve">Faculty Meeting, </w:t>
      </w:r>
      <w:r>
        <w:rPr>
          <w:bCs/>
          <w:color w:val="000000"/>
          <w:u w:val="single"/>
        </w:rPr>
        <w:t>Wednesday, April 16, 2014</w:t>
      </w:r>
      <w:r w:rsidRPr="007C76BB">
        <w:rPr>
          <w:bCs/>
          <w:color w:val="000000"/>
          <w:u w:val="single"/>
        </w:rPr>
        <w:t>, 3:40 p.m.</w:t>
      </w:r>
    </w:p>
    <w:p w:rsidR="00977964" w:rsidRPr="007C76BB" w:rsidRDefault="00977964" w:rsidP="00A52259">
      <w:pPr>
        <w:pStyle w:val="NoSpacing"/>
        <w:ind w:left="720" w:firstLine="720"/>
        <w:jc w:val="center"/>
      </w:pPr>
      <w:r w:rsidRPr="007C76BB">
        <w:rPr>
          <w:bCs/>
          <w:color w:val="000000"/>
          <w:u w:val="single"/>
        </w:rPr>
        <w:t>East Commons, Christensen Center</w:t>
      </w:r>
    </w:p>
    <w:p w:rsidR="00977964" w:rsidRPr="007C76BB" w:rsidRDefault="00977964" w:rsidP="00A52259">
      <w:pPr>
        <w:pStyle w:val="NoSpacing"/>
        <w:jc w:val="center"/>
      </w:pPr>
      <w:r w:rsidRPr="007C76BB">
        <w:br/>
      </w:r>
    </w:p>
    <w:p w:rsidR="00977964" w:rsidRPr="007C76BB" w:rsidRDefault="00271C50" w:rsidP="00A52259">
      <w:pPr>
        <w:pStyle w:val="NoSpacing"/>
        <w:jc w:val="center"/>
      </w:pPr>
      <w:r>
        <w:rPr>
          <w:bCs/>
          <w:color w:val="000000"/>
          <w:u w:val="single"/>
        </w:rPr>
        <w:t>Minutes</w:t>
      </w:r>
    </w:p>
    <w:p w:rsidR="00271C50" w:rsidRDefault="00271C50" w:rsidP="00271C50">
      <w:pPr>
        <w:pStyle w:val="NoSpacing"/>
      </w:pPr>
    </w:p>
    <w:p w:rsidR="00977964" w:rsidRPr="007C76BB" w:rsidRDefault="00271C50" w:rsidP="00271C50">
      <w:pPr>
        <w:pStyle w:val="NoSpacing"/>
      </w:pPr>
      <w:r>
        <w:t>Called to order at 3:43pm</w:t>
      </w:r>
      <w:r w:rsidR="00977964" w:rsidRPr="007C76BB">
        <w:br/>
      </w:r>
    </w:p>
    <w:p w:rsidR="00977964" w:rsidRPr="007C76BB" w:rsidRDefault="00BF60A5" w:rsidP="00271C50">
      <w:pPr>
        <w:pStyle w:val="NoSpacing"/>
      </w:pPr>
      <w:r>
        <w:rPr>
          <w:color w:val="000000"/>
        </w:rPr>
        <w:t>1.</w:t>
      </w:r>
      <w:r>
        <w:rPr>
          <w:color w:val="000000"/>
        </w:rPr>
        <w:tab/>
        <w:t>First Word</w:t>
      </w:r>
      <w:r w:rsidR="00271C50">
        <w:rPr>
          <w:color w:val="000000"/>
        </w:rPr>
        <w:t>—</w:t>
      </w:r>
      <w:r w:rsidR="00FD68D5">
        <w:rPr>
          <w:color w:val="000000"/>
        </w:rPr>
        <w:t>Lori Lohman</w:t>
      </w:r>
    </w:p>
    <w:p w:rsidR="00977964" w:rsidRPr="007C76BB" w:rsidRDefault="00977964" w:rsidP="00271C50">
      <w:pPr>
        <w:pStyle w:val="NoSpacing"/>
      </w:pPr>
    </w:p>
    <w:p w:rsidR="00977964" w:rsidRPr="007C76BB" w:rsidRDefault="00977964" w:rsidP="00271C50">
      <w:pPr>
        <w:pStyle w:val="NoSpacing"/>
      </w:pPr>
      <w:r>
        <w:rPr>
          <w:color w:val="000000"/>
        </w:rPr>
        <w:t>2.</w:t>
      </w:r>
      <w:r>
        <w:rPr>
          <w:color w:val="000000"/>
        </w:rPr>
        <w:tab/>
        <w:t>Approval of Minutes</w:t>
      </w:r>
      <w:r w:rsidR="00082999">
        <w:rPr>
          <w:color w:val="000000"/>
        </w:rPr>
        <w:t xml:space="preserve">—Minutes approved </w:t>
      </w:r>
    </w:p>
    <w:p w:rsidR="00977964" w:rsidRPr="007C76BB" w:rsidRDefault="00977964" w:rsidP="00271C50">
      <w:pPr>
        <w:pStyle w:val="NoSpacing"/>
      </w:pPr>
    </w:p>
    <w:p w:rsidR="00082999" w:rsidRDefault="00082999" w:rsidP="00271C50">
      <w:pPr>
        <w:pStyle w:val="NoSpacing"/>
        <w:rPr>
          <w:color w:val="000000"/>
        </w:rPr>
      </w:pPr>
      <w:r>
        <w:rPr>
          <w:color w:val="000000"/>
        </w:rPr>
        <w:t xml:space="preserve">3.   </w:t>
      </w:r>
      <w:r>
        <w:rPr>
          <w:color w:val="000000"/>
        </w:rPr>
        <w:tab/>
        <w:t xml:space="preserve">Approved Amendments to the Agenda:  </w:t>
      </w:r>
    </w:p>
    <w:p w:rsidR="00082999" w:rsidRDefault="00082999" w:rsidP="00082999">
      <w:pPr>
        <w:pStyle w:val="NoSpacing"/>
        <w:numPr>
          <w:ilvl w:val="0"/>
          <w:numId w:val="2"/>
        </w:numPr>
        <w:rPr>
          <w:color w:val="000000"/>
        </w:rPr>
      </w:pPr>
      <w:r>
        <w:rPr>
          <w:color w:val="000000"/>
        </w:rPr>
        <w:t xml:space="preserve">Pres. Pribbenow is ill and will not be giving a report, </w:t>
      </w:r>
    </w:p>
    <w:p w:rsidR="00082999" w:rsidRDefault="00082999" w:rsidP="00082999">
      <w:pPr>
        <w:pStyle w:val="NoSpacing"/>
        <w:numPr>
          <w:ilvl w:val="0"/>
          <w:numId w:val="2"/>
        </w:numPr>
        <w:rPr>
          <w:color w:val="000000"/>
        </w:rPr>
      </w:pPr>
      <w:r>
        <w:rPr>
          <w:color w:val="000000"/>
        </w:rPr>
        <w:t>Addition of two announcements – one from the registrar and one from Adrianne Brown</w:t>
      </w:r>
    </w:p>
    <w:p w:rsidR="00082999" w:rsidRPr="007C76BB" w:rsidRDefault="00082999" w:rsidP="00271C50">
      <w:pPr>
        <w:pStyle w:val="NoSpacing"/>
        <w:rPr>
          <w:color w:val="000000"/>
        </w:rPr>
      </w:pPr>
      <w:r>
        <w:rPr>
          <w:color w:val="000000"/>
        </w:rPr>
        <w:tab/>
      </w:r>
    </w:p>
    <w:p w:rsidR="00977964" w:rsidRPr="007C76BB" w:rsidRDefault="00977964" w:rsidP="00271C50">
      <w:pPr>
        <w:pStyle w:val="NoSpacing"/>
        <w:rPr>
          <w:color w:val="000000"/>
        </w:rPr>
      </w:pPr>
    </w:p>
    <w:p w:rsidR="00977964" w:rsidRPr="007C76BB" w:rsidRDefault="00977964" w:rsidP="00271C50">
      <w:pPr>
        <w:pStyle w:val="NoSpacing"/>
        <w:rPr>
          <w:color w:val="000000"/>
        </w:rPr>
      </w:pPr>
      <w:r w:rsidRPr="007C76BB">
        <w:rPr>
          <w:color w:val="000000"/>
        </w:rPr>
        <w:t>4.</w:t>
      </w:r>
      <w:r w:rsidRPr="007C76BB">
        <w:rPr>
          <w:color w:val="000000"/>
        </w:rPr>
        <w:tab/>
        <w:t>Reports from Officers of the College</w:t>
      </w:r>
    </w:p>
    <w:p w:rsidR="007B26EC" w:rsidRDefault="007B26EC" w:rsidP="007B26EC">
      <w:pPr>
        <w:pStyle w:val="NoSpacing"/>
        <w:ind w:firstLine="360"/>
      </w:pPr>
    </w:p>
    <w:p w:rsidR="00977964" w:rsidRDefault="00977964" w:rsidP="007B26EC">
      <w:pPr>
        <w:pStyle w:val="NoSpacing"/>
        <w:ind w:firstLine="360"/>
      </w:pPr>
      <w:r>
        <w:t>Provost’s Report</w:t>
      </w:r>
    </w:p>
    <w:p w:rsidR="00082999" w:rsidRDefault="007B26EC" w:rsidP="007B26EC">
      <w:pPr>
        <w:pStyle w:val="NoSpacing"/>
        <w:numPr>
          <w:ilvl w:val="0"/>
          <w:numId w:val="5"/>
        </w:numPr>
      </w:pPr>
      <w:r>
        <w:t>Summarized the feedback from the AQIP reviewers who noted:</w:t>
      </w:r>
    </w:p>
    <w:p w:rsidR="007B26EC" w:rsidRDefault="007B26EC" w:rsidP="007B26EC">
      <w:pPr>
        <w:pStyle w:val="NoSpacing"/>
        <w:numPr>
          <w:ilvl w:val="1"/>
          <w:numId w:val="1"/>
        </w:numPr>
      </w:pPr>
      <w:r>
        <w:lastRenderedPageBreak/>
        <w:t>the s</w:t>
      </w:r>
      <w:r w:rsidR="00082999">
        <w:t>trength of the le</w:t>
      </w:r>
      <w:r>
        <w:t>adership from President and BOR;</w:t>
      </w:r>
      <w:r w:rsidR="00082999">
        <w:t xml:space="preserve">  </w:t>
      </w:r>
    </w:p>
    <w:p w:rsidR="007B26EC" w:rsidRDefault="007B26EC" w:rsidP="007B26EC">
      <w:pPr>
        <w:pStyle w:val="NoSpacing"/>
        <w:numPr>
          <w:ilvl w:val="1"/>
          <w:numId w:val="1"/>
        </w:numPr>
      </w:pPr>
      <w:r>
        <w:t>the c</w:t>
      </w:r>
      <w:r w:rsidR="00082999">
        <w:t>onnection of the community to the mission, transparency</w:t>
      </w:r>
      <w:r>
        <w:t xml:space="preserve"> in the midst of the challenges;</w:t>
      </w:r>
    </w:p>
    <w:p w:rsidR="007B26EC" w:rsidRDefault="007B26EC" w:rsidP="007B26EC">
      <w:pPr>
        <w:pStyle w:val="NoSpacing"/>
        <w:numPr>
          <w:ilvl w:val="1"/>
          <w:numId w:val="1"/>
        </w:numPr>
      </w:pPr>
      <w:r>
        <w:t>our new</w:t>
      </w:r>
      <w:r w:rsidR="00082999">
        <w:t xml:space="preserve"> strategic plan and </w:t>
      </w:r>
      <w:r>
        <w:t xml:space="preserve">the key performance indicators; </w:t>
      </w:r>
    </w:p>
    <w:p w:rsidR="007B26EC" w:rsidRDefault="007B26EC" w:rsidP="007B26EC">
      <w:pPr>
        <w:pStyle w:val="NoSpacing"/>
        <w:numPr>
          <w:ilvl w:val="1"/>
          <w:numId w:val="1"/>
        </w:numPr>
      </w:pPr>
      <w:r>
        <w:t xml:space="preserve">the </w:t>
      </w:r>
      <w:r w:rsidR="00082999">
        <w:t>development of OPE and the hiring of an experience</w:t>
      </w:r>
      <w:r>
        <w:t>d IR person;</w:t>
      </w:r>
    </w:p>
    <w:p w:rsidR="007B26EC" w:rsidRDefault="007B26EC" w:rsidP="007B26EC">
      <w:pPr>
        <w:pStyle w:val="NoSpacing"/>
        <w:numPr>
          <w:ilvl w:val="1"/>
          <w:numId w:val="1"/>
        </w:numPr>
      </w:pPr>
      <w:r>
        <w:t>good work on</w:t>
      </w:r>
      <w:r w:rsidR="00082999">
        <w:t xml:space="preserve"> Agile Grad/Retain</w:t>
      </w:r>
      <w:r>
        <w:t xml:space="preserve"> software implementation to support retention;</w:t>
      </w:r>
    </w:p>
    <w:p w:rsidR="007B26EC" w:rsidRDefault="007B26EC" w:rsidP="007B26EC">
      <w:pPr>
        <w:pStyle w:val="NoSpacing"/>
        <w:numPr>
          <w:ilvl w:val="1"/>
          <w:numId w:val="1"/>
        </w:numPr>
      </w:pPr>
      <w:r>
        <w:t xml:space="preserve">the strength of our internship oversight processes; </w:t>
      </w:r>
    </w:p>
    <w:p w:rsidR="007B26EC" w:rsidRDefault="007B26EC" w:rsidP="007B26EC">
      <w:pPr>
        <w:pStyle w:val="NoSpacing"/>
        <w:numPr>
          <w:ilvl w:val="1"/>
          <w:numId w:val="1"/>
        </w:numPr>
      </w:pPr>
      <w:r>
        <w:t>the overall strength of the College</w:t>
      </w:r>
      <w:r w:rsidR="00082999">
        <w:t xml:space="preserve"> </w:t>
      </w:r>
      <w:r>
        <w:t>leadership;  c</w:t>
      </w:r>
    </w:p>
    <w:p w:rsidR="007B26EC" w:rsidRDefault="007B26EC" w:rsidP="007B26EC">
      <w:pPr>
        <w:pStyle w:val="NoSpacing"/>
        <w:numPr>
          <w:ilvl w:val="1"/>
          <w:numId w:val="1"/>
        </w:numPr>
      </w:pPr>
      <w:r>
        <w:t>c</w:t>
      </w:r>
      <w:r w:rsidR="0061678F">
        <w:t>oncerns about assessment</w:t>
      </w:r>
      <w:r>
        <w:t xml:space="preserve"> of student learning</w:t>
      </w:r>
      <w:r w:rsidR="0061678F">
        <w:t xml:space="preserve">, even though they saw </w:t>
      </w:r>
      <w:r>
        <w:t>evidence of a good faith effort;</w:t>
      </w:r>
    </w:p>
    <w:p w:rsidR="007B26EC" w:rsidRDefault="007B26EC" w:rsidP="007B26EC">
      <w:pPr>
        <w:pStyle w:val="NoSpacing"/>
        <w:numPr>
          <w:ilvl w:val="1"/>
          <w:numId w:val="1"/>
        </w:numPr>
      </w:pPr>
      <w:r>
        <w:t>the</w:t>
      </w:r>
      <w:r w:rsidR="0061678F">
        <w:t xml:space="preserve"> need </w:t>
      </w:r>
      <w:r>
        <w:t xml:space="preserve">for </w:t>
      </w:r>
      <w:r w:rsidR="0061678F">
        <w:t>broad</w:t>
      </w:r>
      <w:r>
        <w:t xml:space="preserve"> faculty participation in</w:t>
      </w:r>
      <w:r w:rsidR="0061678F">
        <w:t xml:space="preserve"> both general </w:t>
      </w:r>
      <w:r>
        <w:t>education and major assessment;</w:t>
      </w:r>
    </w:p>
    <w:p w:rsidR="007B26EC" w:rsidRDefault="007B26EC" w:rsidP="007B26EC">
      <w:pPr>
        <w:pStyle w:val="NoSpacing"/>
        <w:numPr>
          <w:ilvl w:val="1"/>
          <w:numId w:val="1"/>
        </w:numPr>
      </w:pPr>
      <w:r>
        <w:t xml:space="preserve">the need for </w:t>
      </w:r>
      <w:r w:rsidR="0061678F">
        <w:t>comprehensive assessment at gr</w:t>
      </w:r>
      <w:r>
        <w:t>aduate and undergraduate levels;</w:t>
      </w:r>
    </w:p>
    <w:p w:rsidR="007B26EC" w:rsidRDefault="007B26EC" w:rsidP="007B26EC">
      <w:pPr>
        <w:pStyle w:val="NoSpacing"/>
        <w:numPr>
          <w:ilvl w:val="1"/>
          <w:numId w:val="1"/>
        </w:numPr>
      </w:pPr>
      <w:r>
        <w:t xml:space="preserve">the need to demonstrate that </w:t>
      </w:r>
      <w:r w:rsidR="0061678F">
        <w:t>assessment information being used to inform decisions</w:t>
      </w:r>
    </w:p>
    <w:p w:rsidR="007B26EC" w:rsidRDefault="007B26EC" w:rsidP="007B26EC">
      <w:pPr>
        <w:pStyle w:val="NoSpacing"/>
        <w:numPr>
          <w:ilvl w:val="1"/>
          <w:numId w:val="1"/>
        </w:numPr>
      </w:pPr>
      <w:r>
        <w:t>the</w:t>
      </w:r>
      <w:r w:rsidR="0061678F">
        <w:t xml:space="preserve"> need to engage program review starting next Fall, even as a pilot.  </w:t>
      </w:r>
    </w:p>
    <w:p w:rsidR="0061678F" w:rsidRDefault="007B26EC" w:rsidP="007B26EC">
      <w:pPr>
        <w:pStyle w:val="NoSpacing"/>
        <w:numPr>
          <w:ilvl w:val="0"/>
          <w:numId w:val="5"/>
        </w:numPr>
      </w:pPr>
      <w:r>
        <w:t>Karen described the work of assessment and program review as n</w:t>
      </w:r>
      <w:r w:rsidR="0061678F">
        <w:t>on-negotiabl</w:t>
      </w:r>
      <w:r>
        <w:t>es</w:t>
      </w:r>
      <w:r w:rsidR="0061678F">
        <w:t xml:space="preserve">.  </w:t>
      </w:r>
      <w:r>
        <w:t xml:space="preserve">She suggested that the </w:t>
      </w:r>
      <w:r w:rsidR="0061678F">
        <w:t>choice we have i</w:t>
      </w:r>
      <w:r>
        <w:t xml:space="preserve">s how we do this work—we </w:t>
      </w:r>
      <w:r w:rsidR="0061678F">
        <w:t xml:space="preserve">get to decide to make it meaningful.  </w:t>
      </w:r>
    </w:p>
    <w:p w:rsidR="0061678F" w:rsidRDefault="0061678F" w:rsidP="007B26EC">
      <w:pPr>
        <w:pStyle w:val="NoSpacing"/>
        <w:numPr>
          <w:ilvl w:val="0"/>
          <w:numId w:val="5"/>
        </w:numPr>
      </w:pPr>
      <w:r>
        <w:lastRenderedPageBreak/>
        <w:t>CAP will be activated over the summer for internal review and the engagement of the faculty in reviewing the Phoenix proposal.  The CAP committee will be asked to meet several times over the summer.  We need to appoint faculty to that committee who will be available over the summer.  The faculty elected at our next meeting will meet over the summer and continue into the fall.  CAP will review the market data, financial model, letters of intent from departments, concerns that have been raised by Senate and others.  Faculty will need to be engaged in the conversation in September which might require an additional faculty meeting.</w:t>
      </w:r>
    </w:p>
    <w:p w:rsidR="007B26EC" w:rsidRDefault="0061678F" w:rsidP="007B26EC">
      <w:pPr>
        <w:pStyle w:val="NoSpacing"/>
        <w:numPr>
          <w:ilvl w:val="0"/>
          <w:numId w:val="5"/>
        </w:numPr>
      </w:pPr>
      <w:r>
        <w:t>May Workshop Month—Each faculty member is encouraged to attend 1 or 2 of them.   Departments are also encouraged to plan for departmental participation.</w:t>
      </w:r>
    </w:p>
    <w:p w:rsidR="007B26EC" w:rsidRDefault="0061678F" w:rsidP="007B26EC">
      <w:pPr>
        <w:pStyle w:val="NoSpacing"/>
        <w:numPr>
          <w:ilvl w:val="0"/>
          <w:numId w:val="5"/>
        </w:numPr>
      </w:pPr>
      <w:r>
        <w:t>Non-instructional work or stipend requests are due today.</w:t>
      </w:r>
    </w:p>
    <w:p w:rsidR="007B26EC" w:rsidRDefault="0061678F" w:rsidP="007B26EC">
      <w:pPr>
        <w:pStyle w:val="NoSpacing"/>
        <w:numPr>
          <w:ilvl w:val="0"/>
          <w:numId w:val="5"/>
        </w:numPr>
      </w:pPr>
      <w:r>
        <w:t>New faculty position request are due at the beginning of June.  There will be no increase in faculty FTE.  Any new positions will be funded through open positions, retirements, etc.  Department chairs are being asked to provide some evidence related to number of majors,  student demand, etc.</w:t>
      </w:r>
    </w:p>
    <w:p w:rsidR="007B26EC" w:rsidRDefault="0061678F" w:rsidP="007B26EC">
      <w:pPr>
        <w:pStyle w:val="NoSpacing"/>
        <w:numPr>
          <w:ilvl w:val="0"/>
          <w:numId w:val="5"/>
        </w:numPr>
      </w:pPr>
      <w:r>
        <w:t>We recognized Phil Adamo for his Distinguished Contributions in Sch</w:t>
      </w:r>
      <w:r w:rsidR="002B0155">
        <w:t>olarship, and his CARA</w:t>
      </w:r>
      <w:r>
        <w:t xml:space="preserve"> Award, which is a</w:t>
      </w:r>
      <w:r w:rsidR="002B0155">
        <w:t xml:space="preserve"> national</w:t>
      </w:r>
      <w:r>
        <w:t xml:space="preserve"> teaching award given by the</w:t>
      </w:r>
      <w:r w:rsidR="002B0155">
        <w:t xml:space="preserve"> Medieval Academy of America</w:t>
      </w:r>
      <w:r>
        <w:t>.</w:t>
      </w:r>
    </w:p>
    <w:p w:rsidR="007B26EC" w:rsidRDefault="0061678F" w:rsidP="007B26EC">
      <w:pPr>
        <w:pStyle w:val="NoSpacing"/>
        <w:numPr>
          <w:ilvl w:val="0"/>
          <w:numId w:val="5"/>
        </w:numPr>
      </w:pPr>
      <w:r>
        <w:lastRenderedPageBreak/>
        <w:t>Both commencements are being held the weekend of May 3 and 4.  Karen encouraged faculty to attend both and suggested that each department is represented at both.  If academic garb</w:t>
      </w:r>
      <w:r w:rsidR="00935858">
        <w:t xml:space="preserve"> is an obstacle to attend, please let your dean know.  </w:t>
      </w:r>
    </w:p>
    <w:p w:rsidR="007B26EC" w:rsidRDefault="00935858" w:rsidP="007B26EC">
      <w:pPr>
        <w:pStyle w:val="NoSpacing"/>
        <w:numPr>
          <w:ilvl w:val="0"/>
          <w:numId w:val="5"/>
        </w:numPr>
      </w:pPr>
      <w:r>
        <w:t xml:space="preserve">Great Colleges to Work For survey closes on Friday, April 18.  </w:t>
      </w:r>
    </w:p>
    <w:p w:rsidR="00935858" w:rsidRDefault="00935858" w:rsidP="007B26EC">
      <w:pPr>
        <w:pStyle w:val="NoSpacing"/>
        <w:numPr>
          <w:ilvl w:val="0"/>
          <w:numId w:val="5"/>
        </w:numPr>
      </w:pPr>
      <w:r>
        <w:t xml:space="preserve">Karen thanked Tom Kelsey for his minute taking over the years.  </w:t>
      </w:r>
    </w:p>
    <w:p w:rsidR="0061678F" w:rsidRDefault="0061678F" w:rsidP="00082999">
      <w:pPr>
        <w:pStyle w:val="NoSpacing"/>
        <w:ind w:left="1080"/>
      </w:pPr>
    </w:p>
    <w:p w:rsidR="00AB0673" w:rsidRDefault="00AB0673" w:rsidP="00271C50">
      <w:pPr>
        <w:pStyle w:val="NoSpacing"/>
        <w:ind w:left="1080"/>
      </w:pPr>
    </w:p>
    <w:p w:rsidR="00977964" w:rsidRPr="007C76BB" w:rsidRDefault="00977964" w:rsidP="00271C50">
      <w:pPr>
        <w:pStyle w:val="NoSpacing"/>
        <w:rPr>
          <w:color w:val="000000"/>
        </w:rPr>
      </w:pPr>
      <w:r w:rsidRPr="007C76BB">
        <w:rPr>
          <w:color w:val="000000"/>
        </w:rPr>
        <w:t>5.</w:t>
      </w:r>
      <w:r w:rsidRPr="007C76BB">
        <w:rPr>
          <w:color w:val="000000"/>
        </w:rPr>
        <w:tab/>
        <w:t>Reports of Standing Committees</w:t>
      </w:r>
    </w:p>
    <w:p w:rsidR="007B26EC" w:rsidRDefault="007B26EC" w:rsidP="007B26EC">
      <w:pPr>
        <w:pStyle w:val="NoSpacing"/>
      </w:pPr>
    </w:p>
    <w:p w:rsidR="00426EEC" w:rsidRDefault="00426EEC" w:rsidP="007B26EC">
      <w:pPr>
        <w:pStyle w:val="NoSpacing"/>
      </w:pPr>
      <w:r>
        <w:t>Faculty Compensation – Bob Groven</w:t>
      </w:r>
    </w:p>
    <w:p w:rsidR="007B26EC" w:rsidRDefault="00935858" w:rsidP="007B26EC">
      <w:pPr>
        <w:pStyle w:val="NoSpacing"/>
        <w:numPr>
          <w:ilvl w:val="0"/>
          <w:numId w:val="6"/>
        </w:numPr>
      </w:pPr>
      <w:r>
        <w:t>The motions that were passed at last meeting being operationalized.  Budget planning is being done to increase undergraduate adjunct and overload pay to $4000.</w:t>
      </w:r>
    </w:p>
    <w:p w:rsidR="00935858" w:rsidRDefault="00935858" w:rsidP="007B26EC">
      <w:pPr>
        <w:pStyle w:val="NoSpacing"/>
        <w:numPr>
          <w:ilvl w:val="0"/>
          <w:numId w:val="6"/>
        </w:numPr>
      </w:pPr>
      <w:r>
        <w:t xml:space="preserve">The committee is discussing how to implement the approved motion related to moving faculty salaries to median in a multi-year plan.    </w:t>
      </w:r>
    </w:p>
    <w:p w:rsidR="00977964" w:rsidRDefault="00977964" w:rsidP="00271C50">
      <w:pPr>
        <w:pStyle w:val="NoSpacing"/>
        <w:rPr>
          <w:color w:val="000000"/>
        </w:rPr>
      </w:pPr>
    </w:p>
    <w:p w:rsidR="00935858" w:rsidRDefault="00935858" w:rsidP="007B26EC">
      <w:pPr>
        <w:pStyle w:val="NoSpacing"/>
        <w:rPr>
          <w:color w:val="000000"/>
        </w:rPr>
      </w:pPr>
      <w:r>
        <w:rPr>
          <w:color w:val="000000"/>
        </w:rPr>
        <w:t>Shared Governance Taskforce</w:t>
      </w:r>
    </w:p>
    <w:p w:rsidR="00935858" w:rsidRDefault="00935858" w:rsidP="007B26EC">
      <w:pPr>
        <w:pStyle w:val="NoSpacing"/>
        <w:numPr>
          <w:ilvl w:val="0"/>
          <w:numId w:val="8"/>
        </w:numPr>
        <w:rPr>
          <w:color w:val="000000"/>
        </w:rPr>
      </w:pPr>
      <w:r>
        <w:rPr>
          <w:color w:val="000000"/>
        </w:rPr>
        <w:t>First draft of the taskforce report has been completed and everyone should pick up a copy before leaving the meeting today.</w:t>
      </w:r>
    </w:p>
    <w:p w:rsidR="007B26EC" w:rsidRDefault="007B26EC" w:rsidP="007B26EC">
      <w:pPr>
        <w:pStyle w:val="NoSpacing"/>
        <w:numPr>
          <w:ilvl w:val="0"/>
          <w:numId w:val="8"/>
        </w:numPr>
        <w:rPr>
          <w:color w:val="000000"/>
        </w:rPr>
      </w:pPr>
      <w:r>
        <w:rPr>
          <w:color w:val="000000"/>
        </w:rPr>
        <w:t>Copies will also be distributed by Email and in hardcopy.</w:t>
      </w:r>
    </w:p>
    <w:p w:rsidR="00935858" w:rsidRPr="007C76BB" w:rsidRDefault="00935858" w:rsidP="00935858">
      <w:pPr>
        <w:pStyle w:val="NoSpacing"/>
        <w:ind w:left="720"/>
        <w:rPr>
          <w:color w:val="000000"/>
        </w:rPr>
      </w:pPr>
    </w:p>
    <w:p w:rsidR="00977964" w:rsidRPr="007C76BB" w:rsidRDefault="00977964" w:rsidP="00271C50">
      <w:pPr>
        <w:pStyle w:val="NoSpacing"/>
        <w:rPr>
          <w:color w:val="000000"/>
        </w:rPr>
      </w:pPr>
      <w:r w:rsidRPr="007C76BB">
        <w:rPr>
          <w:color w:val="000000"/>
        </w:rPr>
        <w:t>6.</w:t>
      </w:r>
      <w:r w:rsidRPr="007C76BB">
        <w:rPr>
          <w:color w:val="000000"/>
        </w:rPr>
        <w:tab/>
        <w:t>New Business</w:t>
      </w:r>
    </w:p>
    <w:p w:rsidR="007B26EC" w:rsidRDefault="007B26EC" w:rsidP="007B26EC">
      <w:pPr>
        <w:pStyle w:val="NoSpacing"/>
      </w:pPr>
    </w:p>
    <w:p w:rsidR="007B60CD" w:rsidRDefault="007B60CD" w:rsidP="007B26EC">
      <w:pPr>
        <w:pStyle w:val="NoSpacing"/>
      </w:pPr>
      <w:r>
        <w:t>Personnel Policies Committee – Su Doree</w:t>
      </w:r>
    </w:p>
    <w:p w:rsidR="007B60CD" w:rsidRDefault="000C1680" w:rsidP="007B26EC">
      <w:pPr>
        <w:pStyle w:val="NoSpacing"/>
        <w:numPr>
          <w:ilvl w:val="1"/>
          <w:numId w:val="5"/>
        </w:numPr>
        <w:ind w:left="720"/>
      </w:pPr>
      <w:r>
        <w:t>Motion on sec. 6.9.4 Post-Tenure Review</w:t>
      </w:r>
      <w:r w:rsidR="002B0155">
        <w:t>, motion approved.</w:t>
      </w:r>
    </w:p>
    <w:p w:rsidR="00935858" w:rsidRDefault="00935858" w:rsidP="00935858">
      <w:pPr>
        <w:pStyle w:val="NoSpacing"/>
        <w:ind w:left="2160"/>
      </w:pPr>
    </w:p>
    <w:p w:rsidR="00B56ED0" w:rsidRDefault="000C1680" w:rsidP="002B0155">
      <w:pPr>
        <w:pStyle w:val="NoSpacing"/>
        <w:numPr>
          <w:ilvl w:val="1"/>
          <w:numId w:val="5"/>
        </w:numPr>
        <w:ind w:left="720"/>
      </w:pPr>
      <w:r>
        <w:t>First reading of proposed changes to sec. 6.1 and 6.12 on the Appointments and Reviews of non-tenure track faculty</w:t>
      </w:r>
    </w:p>
    <w:p w:rsidR="00935858" w:rsidRDefault="00935858" w:rsidP="002B0155">
      <w:pPr>
        <w:pStyle w:val="NoSpacing"/>
        <w:numPr>
          <w:ilvl w:val="2"/>
          <w:numId w:val="5"/>
        </w:numPr>
        <w:ind w:left="1350"/>
      </w:pPr>
      <w:r>
        <w:t>Will propose the version that was approved last meeting</w:t>
      </w:r>
    </w:p>
    <w:p w:rsidR="00935858" w:rsidRDefault="00935858" w:rsidP="002B0155">
      <w:pPr>
        <w:pStyle w:val="NoSpacing"/>
        <w:numPr>
          <w:ilvl w:val="2"/>
          <w:numId w:val="5"/>
        </w:numPr>
        <w:ind w:left="1350"/>
      </w:pPr>
      <w:r>
        <w:t>Any amendments will be distributed in writing (see handout)</w:t>
      </w:r>
    </w:p>
    <w:p w:rsidR="00935858" w:rsidRDefault="00935858" w:rsidP="002B0155">
      <w:pPr>
        <w:pStyle w:val="NoSpacing"/>
        <w:numPr>
          <w:ilvl w:val="2"/>
          <w:numId w:val="5"/>
        </w:numPr>
        <w:ind w:left="1350"/>
      </w:pPr>
      <w:r>
        <w:t>PPC will</w:t>
      </w:r>
      <w:r w:rsidR="00BF7083">
        <w:t xml:space="preserve"> propose grandfathering titles, needs to be vetted with Chairs/Directors</w:t>
      </w:r>
    </w:p>
    <w:p w:rsidR="002B0155" w:rsidRDefault="002B0155" w:rsidP="002B0155">
      <w:pPr>
        <w:pStyle w:val="NoSpacing"/>
      </w:pPr>
    </w:p>
    <w:p w:rsidR="002B0155" w:rsidRDefault="002B0155" w:rsidP="002B0155">
      <w:pPr>
        <w:pStyle w:val="NoSpacing"/>
      </w:pPr>
      <w:r>
        <w:t>Discussion of the proposed changes to section 6.1 and 6.12 on the Appointment and Review of non-tenure track faculty:</w:t>
      </w:r>
    </w:p>
    <w:p w:rsidR="00BF7083" w:rsidRDefault="00BF7083" w:rsidP="002B0155">
      <w:pPr>
        <w:pStyle w:val="NoSpacing"/>
        <w:numPr>
          <w:ilvl w:val="2"/>
          <w:numId w:val="9"/>
        </w:numPr>
        <w:ind w:left="630" w:hanging="270"/>
      </w:pPr>
      <w:r>
        <w:t xml:space="preserve">Alternative path to tenure—the phrase was changed to clarify the process by which a NTT faculty member might be converted into to a TT position (search is customary but there could be exceptions).  The language is in Section 6.1.3.  </w:t>
      </w:r>
    </w:p>
    <w:p w:rsidR="00BF7083" w:rsidRDefault="00BF7083" w:rsidP="002B0155">
      <w:pPr>
        <w:pStyle w:val="NoSpacing"/>
        <w:numPr>
          <w:ilvl w:val="2"/>
          <w:numId w:val="9"/>
        </w:numPr>
        <w:ind w:left="630" w:hanging="270"/>
      </w:pPr>
      <w:r>
        <w:t>Questions about positions that were TT but have been rehired as NTT—in that situation there is a position request made and the type of position might change.  Karen clarified that any TT position that is vacated would be reviewed to determine if TT is appropriate.</w:t>
      </w:r>
    </w:p>
    <w:p w:rsidR="00BF7083" w:rsidRDefault="00BF7083" w:rsidP="002B0155">
      <w:pPr>
        <w:pStyle w:val="NoSpacing"/>
        <w:numPr>
          <w:ilvl w:val="2"/>
          <w:numId w:val="9"/>
        </w:numPr>
        <w:ind w:left="630" w:hanging="270"/>
      </w:pPr>
      <w:r>
        <w:lastRenderedPageBreak/>
        <w:t>A suggestion was made to change the language in Section 6 to reflect conversation to the semester hour credits.   PPC has tried to clarify the course workload but since not all courses are 4 semester credits.  Karen shared that many schools designate a holistic view of faculty work that describes the work that faculty do for service and scholarship.</w:t>
      </w:r>
    </w:p>
    <w:p w:rsidR="00BF7083" w:rsidRDefault="00BF7083" w:rsidP="002B0155">
      <w:pPr>
        <w:pStyle w:val="NoSpacing"/>
        <w:numPr>
          <w:ilvl w:val="2"/>
          <w:numId w:val="9"/>
        </w:numPr>
        <w:ind w:left="630" w:hanging="270"/>
      </w:pPr>
      <w:r>
        <w:t xml:space="preserve">A question was raised about the ratio of courses being taught by contract and adjunct faculty.  The faculty member shared that the ratio in their department was much higher and raised concerns about the long-term quality of the instruction and how it is distinctive.  The faculty member asked if the leadership team would commit to the non-tenure track ratio.  Karen responded that she sees that ratio as aspirational but cannot commit. </w:t>
      </w:r>
      <w:r w:rsidR="008D395C">
        <w:t xml:space="preserve">  She affirmed her commitment to tenure and the teacher-scholar model.  </w:t>
      </w:r>
      <w:r>
        <w:t xml:space="preserve"> The aspiration needs to commit to the aspirational ratio because both have ways to contribute to meeting that goal.  </w:t>
      </w:r>
    </w:p>
    <w:p w:rsidR="008D395C" w:rsidRDefault="008D395C" w:rsidP="002B0155">
      <w:pPr>
        <w:pStyle w:val="NoSpacing"/>
        <w:numPr>
          <w:ilvl w:val="2"/>
          <w:numId w:val="9"/>
        </w:numPr>
        <w:ind w:left="630" w:hanging="270"/>
      </w:pPr>
      <w:r>
        <w:t xml:space="preserve">One of the major arguments in support of this motion is that it has already been approved.  Faculty member asserted that the vote last May allowed for PPC to draft the language.  Faculty would like to see the proposal delayed.  This proposal will create a teaching specialist that will be a second tier of faculty who are not engaged in scholarship, and have limited service responsibilities.  Can there just be a 3-year renewable appointment </w:t>
      </w:r>
      <w:r>
        <w:lastRenderedPageBreak/>
        <w:t>(not named a teaching appointment), which allows the department to negotiate the work of the faculty?  We could change the tenure pathway to allow NTT faculty who have successfully completed 6 year review to allow them to go up for tenure at their next review.  Tenure support academic freedom.</w:t>
      </w:r>
    </w:p>
    <w:p w:rsidR="008D395C" w:rsidRDefault="008D395C" w:rsidP="002B0155">
      <w:pPr>
        <w:pStyle w:val="NoSpacing"/>
        <w:numPr>
          <w:ilvl w:val="2"/>
          <w:numId w:val="9"/>
        </w:numPr>
        <w:ind w:left="630" w:hanging="270"/>
      </w:pPr>
      <w:r>
        <w:t>It is up to us to use the language to elevate and acknowledge the work that our NTT faculty colleagues do for the college.</w:t>
      </w:r>
    </w:p>
    <w:p w:rsidR="008D395C" w:rsidRDefault="008D395C" w:rsidP="002B0155">
      <w:pPr>
        <w:pStyle w:val="NoSpacing"/>
        <w:numPr>
          <w:ilvl w:val="2"/>
          <w:numId w:val="9"/>
        </w:numPr>
        <w:ind w:left="630" w:hanging="270"/>
      </w:pPr>
      <w:r>
        <w:t xml:space="preserve">Are there Teaching Specialists?  This type of position does exist and is held by NTT faculty who do not have the meet the criteria for tenure and promotion, either by degree or scholarship.  This position is distinct from a Visiting Assistant Professor </w:t>
      </w:r>
      <w:r w:rsidR="00D477E0">
        <w:t xml:space="preserve"> which denotes a temporary position, not one that would go on.  There are a large number of faculty in these roles now.  Many colleges have some version of this type of position.  Karen suggested that these are important positions but should be limited.</w:t>
      </w:r>
    </w:p>
    <w:p w:rsidR="008D395C" w:rsidRDefault="00D477E0" w:rsidP="002B0155">
      <w:pPr>
        <w:pStyle w:val="NoSpacing"/>
        <w:numPr>
          <w:ilvl w:val="2"/>
          <w:numId w:val="9"/>
        </w:numPr>
        <w:ind w:left="630" w:hanging="270"/>
      </w:pPr>
      <w:r>
        <w:t xml:space="preserve">What are the budgetary implications of this proposal?  It is hard to weigh in on the proposal without any information on budget implications.  It is clear that there is wide support of tenure at this institution.  Karen clarified that when she talked about NTT faculty she is talking about mainly full-time positions.  At Augsburg, the pay for NTT is the same as TT faculty.  She feels that this is inequitable given the scholarship as well as service.  In effect, we are underpaying our TT and adjunct faculty and we are not underpaying NTT compared to our reference groups.  It </w:t>
      </w:r>
      <w:r>
        <w:lastRenderedPageBreak/>
        <w:t>would not be affordable to convert all adjunct faculty courses into TT positions.</w:t>
      </w:r>
    </w:p>
    <w:p w:rsidR="00D477E0" w:rsidRDefault="00D477E0" w:rsidP="002B0155">
      <w:pPr>
        <w:pStyle w:val="NoSpacing"/>
        <w:numPr>
          <w:ilvl w:val="2"/>
          <w:numId w:val="9"/>
        </w:numPr>
        <w:ind w:left="630" w:hanging="270"/>
      </w:pPr>
      <w:r>
        <w:t>Faculty shared a basic, ideological problem with the proposal.  The proposal enables administration to institutionalize non-tenurable positions.  This proposal is not for right now, but is for the future. A suggestion was made for having a conversion to tenure</w:t>
      </w:r>
      <w:r w:rsidR="0016641D">
        <w:t xml:space="preserve"> after 9 years.  We should be hiring tenure-track faculty, especially in the undergraduate program.  </w:t>
      </w:r>
    </w:p>
    <w:p w:rsidR="0016641D" w:rsidRDefault="0016641D" w:rsidP="002B0155">
      <w:pPr>
        <w:pStyle w:val="NoSpacing"/>
        <w:numPr>
          <w:ilvl w:val="2"/>
          <w:numId w:val="9"/>
        </w:numPr>
        <w:ind w:left="630" w:hanging="270"/>
      </w:pPr>
      <w:r>
        <w:t>It might be important to share some examples—in Math there is a NTT faculty member who serves a very important role and has a MS degree so he would not be eligible for tenure.  This proposal would allow him to have some greater stability.</w:t>
      </w:r>
    </w:p>
    <w:p w:rsidR="0016641D" w:rsidRDefault="0016641D" w:rsidP="002B0155">
      <w:pPr>
        <w:pStyle w:val="NoSpacing"/>
        <w:numPr>
          <w:ilvl w:val="2"/>
          <w:numId w:val="9"/>
        </w:numPr>
        <w:ind w:left="630" w:hanging="270"/>
      </w:pPr>
      <w:r>
        <w:t>There is a critical importance of the First Amendment to democracy and academic freedom is the way that amendment is applied in an academic community.</w:t>
      </w:r>
    </w:p>
    <w:p w:rsidR="0016641D" w:rsidRDefault="0016641D" w:rsidP="002B0155">
      <w:pPr>
        <w:pStyle w:val="NoSpacing"/>
        <w:numPr>
          <w:ilvl w:val="2"/>
          <w:numId w:val="9"/>
        </w:numPr>
        <w:ind w:left="630" w:hanging="270"/>
      </w:pPr>
      <w:r>
        <w:t>This is a very difficult way to make decision.  It is not clear what problem is—many different concerns are being raised.  It is clear that there are multiple issues that are trying to be addressed.  This process is resulting in a glacial word-by-word changing of the faculty handbook.</w:t>
      </w:r>
    </w:p>
    <w:p w:rsidR="0016641D" w:rsidRDefault="0016641D" w:rsidP="002B0155">
      <w:pPr>
        <w:pStyle w:val="NoSpacing"/>
        <w:numPr>
          <w:ilvl w:val="2"/>
          <w:numId w:val="9"/>
        </w:numPr>
        <w:ind w:left="630" w:hanging="270"/>
      </w:pPr>
      <w:r>
        <w:t xml:space="preserve">From SWK’s point of view, this seems like a square hole and a round peg.  At some college’s the Field Placement coordinator is a special appointment, MS or PhD, may or may not have </w:t>
      </w:r>
      <w:r>
        <w:lastRenderedPageBreak/>
        <w:t>scholarship expectations.  All of that planning was put aside because there was not a mechanism for developing this type of position.  The true decision-making needs to be able to happen at the department level.</w:t>
      </w:r>
    </w:p>
    <w:p w:rsidR="0016641D" w:rsidRDefault="0016641D" w:rsidP="002B0155">
      <w:pPr>
        <w:pStyle w:val="NoSpacing"/>
        <w:numPr>
          <w:ilvl w:val="2"/>
          <w:numId w:val="9"/>
        </w:numPr>
        <w:ind w:left="630" w:hanging="270"/>
      </w:pPr>
      <w:r>
        <w:t>Appreciate the conversation among faculty, although it is not possible to have a discussion among 80 faculty.  We could use Moodle forums that could be used to discuss some of these issues to a greater degree.  It would be great if a discussion forum could be set up on the Academic Affairs Moodle site.</w:t>
      </w:r>
      <w:r w:rsidR="00707794">
        <w:t xml:space="preserve">  Karen said that she would.</w:t>
      </w:r>
    </w:p>
    <w:p w:rsidR="0016641D" w:rsidRDefault="00CD12EE" w:rsidP="002B0155">
      <w:pPr>
        <w:pStyle w:val="NoSpacing"/>
        <w:numPr>
          <w:ilvl w:val="2"/>
          <w:numId w:val="9"/>
        </w:numPr>
        <w:ind w:left="630" w:hanging="270"/>
      </w:pPr>
      <w:r>
        <w:t>Some comments/responses from PPC</w:t>
      </w:r>
      <w:r w:rsidR="00D120E3">
        <w:t>—requirements for service for faculty in teaching appointments (identical for those in tenure track appointments); most faculty that are in teaching appointments are not currently seeking tenure track status; vising faculty typically are seeking tenure track positions and their service and scholarship expectations support their goal; AAUP national has removed their suggestion for a review leading to tenure because they were concerned that the faculty member would be moved to part-time or lose their position; the proposal includes a regular review of the position to allow conversation that</w:t>
      </w:r>
      <w:r w:rsidR="00956565">
        <w:t xml:space="preserve"> might shift the position to TT; </w:t>
      </w:r>
      <w:r w:rsidR="00EF18B5">
        <w:t xml:space="preserve"> Section 6.1 includes a statement protecting academic freedom of no</w:t>
      </w:r>
      <w:r>
        <w:t xml:space="preserve">n-tenured and </w:t>
      </w:r>
      <w:r>
        <w:lastRenderedPageBreak/>
        <w:t>part-time faculty; review the three categories of teaching appointments;   Board of Regents has indicated that they want tenured faculty to have a terminal degree.</w:t>
      </w:r>
    </w:p>
    <w:p w:rsidR="0016641D" w:rsidRDefault="00CD12EE" w:rsidP="002B0155">
      <w:pPr>
        <w:pStyle w:val="NoSpacing"/>
        <w:numPr>
          <w:ilvl w:val="2"/>
          <w:numId w:val="9"/>
        </w:numPr>
        <w:ind w:left="630" w:hanging="270"/>
      </w:pPr>
      <w:r>
        <w:t>There are two open hearings Thursday</w:t>
      </w:r>
      <w:r w:rsidR="002B0155">
        <w:t xml:space="preserve">, 4/17 from noon-1 pm (LIN 202) and Monday, </w:t>
      </w:r>
    </w:p>
    <w:p w:rsidR="00CD12EE" w:rsidRDefault="00CD12EE" w:rsidP="002B0155">
      <w:pPr>
        <w:pStyle w:val="NoSpacing"/>
      </w:pPr>
    </w:p>
    <w:p w:rsidR="00977964" w:rsidRPr="007C76BB" w:rsidRDefault="00977964" w:rsidP="00271C50">
      <w:pPr>
        <w:pStyle w:val="NoSpacing"/>
      </w:pPr>
    </w:p>
    <w:p w:rsidR="00977964" w:rsidRPr="007C76BB" w:rsidRDefault="00977964" w:rsidP="00271C50">
      <w:pPr>
        <w:pStyle w:val="NoSpacing"/>
      </w:pPr>
      <w:r w:rsidRPr="007C76BB">
        <w:rPr>
          <w:color w:val="000000"/>
        </w:rPr>
        <w:t>7.</w:t>
      </w:r>
      <w:r w:rsidRPr="007C76BB">
        <w:rPr>
          <w:color w:val="000000"/>
        </w:rPr>
        <w:tab/>
        <w:t>Old Business</w:t>
      </w:r>
    </w:p>
    <w:p w:rsidR="00977964" w:rsidRPr="007C76BB" w:rsidRDefault="00977964" w:rsidP="00271C50">
      <w:pPr>
        <w:pStyle w:val="NoSpacing"/>
      </w:pPr>
    </w:p>
    <w:p w:rsidR="00977964" w:rsidRDefault="00977964" w:rsidP="00271C50">
      <w:pPr>
        <w:pStyle w:val="NoSpacing"/>
        <w:rPr>
          <w:color w:val="000000"/>
        </w:rPr>
      </w:pPr>
      <w:r w:rsidRPr="007C76BB">
        <w:rPr>
          <w:color w:val="000000"/>
        </w:rPr>
        <w:t>8.</w:t>
      </w:r>
      <w:r w:rsidRPr="007C76BB">
        <w:rPr>
          <w:color w:val="000000"/>
        </w:rPr>
        <w:tab/>
        <w:t>Other Reports</w:t>
      </w:r>
    </w:p>
    <w:p w:rsidR="00C67439" w:rsidRDefault="00C67439" w:rsidP="00271C50">
      <w:pPr>
        <w:pStyle w:val="NoSpacing"/>
        <w:rPr>
          <w:color w:val="000000"/>
        </w:rPr>
      </w:pPr>
    </w:p>
    <w:p w:rsidR="002B0155" w:rsidRDefault="007B60CD" w:rsidP="002B0155">
      <w:pPr>
        <w:pStyle w:val="NoSpacing"/>
      </w:pPr>
      <w:r>
        <w:t>SBR (Science, Business, and Religion) – Larry Crockett, Russell Kleckley</w:t>
      </w:r>
    </w:p>
    <w:p w:rsidR="002B0155" w:rsidRDefault="00CD12EE" w:rsidP="002B0155">
      <w:pPr>
        <w:pStyle w:val="NoSpacing"/>
        <w:numPr>
          <w:ilvl w:val="0"/>
          <w:numId w:val="11"/>
        </w:numPr>
      </w:pPr>
      <w:r>
        <w:t xml:space="preserve">Report on </w:t>
      </w:r>
      <w:r w:rsidR="00D458D5">
        <w:t xml:space="preserve">a faculty group who has been meeting regularly to discuss CSBR and academic programming.  They focused a Keystone on SBR.  Larry and Russell are asking for faculty engagement on SBR academic initiatives.    Saw the course as an opportunity for exploring these three disciplines with students.    </w:t>
      </w:r>
    </w:p>
    <w:p w:rsidR="002B0155" w:rsidRDefault="00D458D5" w:rsidP="002B0155">
      <w:pPr>
        <w:pStyle w:val="NoSpacing"/>
        <w:numPr>
          <w:ilvl w:val="0"/>
          <w:numId w:val="11"/>
        </w:numPr>
      </w:pPr>
      <w:r>
        <w:t xml:space="preserve">Faculty are invited to participate in these conversations  on May 5 and 6.  </w:t>
      </w:r>
    </w:p>
    <w:p w:rsidR="00CD12EE" w:rsidRPr="007C76BB" w:rsidRDefault="00D458D5" w:rsidP="002B0155">
      <w:pPr>
        <w:pStyle w:val="NoSpacing"/>
        <w:numPr>
          <w:ilvl w:val="0"/>
          <w:numId w:val="11"/>
        </w:numPr>
      </w:pPr>
      <w:r>
        <w:t xml:space="preserve">There is some funding to support mini-grants for work over the summer.  </w:t>
      </w:r>
    </w:p>
    <w:p w:rsidR="00977964" w:rsidRPr="007C76BB" w:rsidRDefault="00977964" w:rsidP="00271C50">
      <w:pPr>
        <w:pStyle w:val="NoSpacing"/>
      </w:pPr>
    </w:p>
    <w:p w:rsidR="00977964" w:rsidRDefault="00977964" w:rsidP="00271C50">
      <w:pPr>
        <w:pStyle w:val="NoSpacing"/>
        <w:rPr>
          <w:color w:val="000000"/>
        </w:rPr>
      </w:pPr>
      <w:r w:rsidRPr="007C76BB">
        <w:rPr>
          <w:color w:val="000000"/>
        </w:rPr>
        <w:t>9.</w:t>
      </w:r>
      <w:r w:rsidRPr="007C76BB">
        <w:rPr>
          <w:color w:val="000000"/>
        </w:rPr>
        <w:tab/>
        <w:t>Announcements</w:t>
      </w:r>
    </w:p>
    <w:p w:rsidR="00C67439" w:rsidRPr="007C76BB" w:rsidRDefault="00C67439" w:rsidP="00271C50">
      <w:pPr>
        <w:pStyle w:val="NoSpacing"/>
      </w:pPr>
    </w:p>
    <w:p w:rsidR="002B0155" w:rsidRDefault="00474729" w:rsidP="002B0155">
      <w:pPr>
        <w:pStyle w:val="NoSpacing"/>
        <w:numPr>
          <w:ilvl w:val="0"/>
          <w:numId w:val="10"/>
        </w:numPr>
        <w:tabs>
          <w:tab w:val="left" w:pos="810"/>
        </w:tabs>
        <w:rPr>
          <w:color w:val="000000"/>
        </w:rPr>
      </w:pPr>
      <w:r>
        <w:t>Creating an Inclusive Campus Workshop – Matt Maruggi</w:t>
      </w:r>
    </w:p>
    <w:p w:rsidR="00CD12EE" w:rsidRPr="002B0155" w:rsidRDefault="00CD12EE" w:rsidP="002B0155">
      <w:pPr>
        <w:pStyle w:val="NoSpacing"/>
        <w:numPr>
          <w:ilvl w:val="1"/>
          <w:numId w:val="10"/>
        </w:numPr>
        <w:tabs>
          <w:tab w:val="left" w:pos="810"/>
        </w:tabs>
        <w:rPr>
          <w:color w:val="000000"/>
        </w:rPr>
      </w:pPr>
      <w:r>
        <w:t>Monday 5/12—9am-12 pm</w:t>
      </w:r>
    </w:p>
    <w:p w:rsidR="00CD12EE" w:rsidRDefault="00CD12EE" w:rsidP="002B0155">
      <w:pPr>
        <w:pStyle w:val="NoSpacing"/>
        <w:numPr>
          <w:ilvl w:val="1"/>
          <w:numId w:val="10"/>
        </w:numPr>
        <w:tabs>
          <w:tab w:val="left" w:pos="810"/>
        </w:tabs>
      </w:pPr>
      <w:r>
        <w:t>New approach with more targeted workshops</w:t>
      </w:r>
    </w:p>
    <w:p w:rsidR="00CD12EE" w:rsidRDefault="00CD12EE" w:rsidP="002B0155">
      <w:pPr>
        <w:pStyle w:val="NoSpacing"/>
        <w:numPr>
          <w:ilvl w:val="1"/>
          <w:numId w:val="10"/>
        </w:numPr>
        <w:tabs>
          <w:tab w:val="left" w:pos="810"/>
        </w:tabs>
      </w:pPr>
      <w:r>
        <w:t xml:space="preserve">Outside Facilitator, Student Focus Groups </w:t>
      </w:r>
    </w:p>
    <w:p w:rsidR="00CD12EE" w:rsidRPr="000D4D72" w:rsidRDefault="00CD12EE" w:rsidP="00CD12EE">
      <w:pPr>
        <w:pStyle w:val="NoSpacing"/>
        <w:tabs>
          <w:tab w:val="left" w:pos="810"/>
        </w:tabs>
        <w:ind w:left="1080"/>
        <w:rPr>
          <w:color w:val="000000"/>
        </w:rPr>
      </w:pPr>
    </w:p>
    <w:p w:rsidR="00D458D5" w:rsidRDefault="00D458D5" w:rsidP="002B0155">
      <w:pPr>
        <w:pStyle w:val="NoSpacing"/>
        <w:numPr>
          <w:ilvl w:val="0"/>
          <w:numId w:val="10"/>
        </w:numPr>
        <w:tabs>
          <w:tab w:val="left" w:pos="810"/>
        </w:tabs>
        <w:rPr>
          <w:color w:val="000000"/>
        </w:rPr>
      </w:pPr>
      <w:r>
        <w:rPr>
          <w:color w:val="000000"/>
        </w:rPr>
        <w:t>Non-Attendance/Non-Participation and  Graduation Application--Crystal Comer</w:t>
      </w:r>
    </w:p>
    <w:p w:rsidR="00D458D5" w:rsidRDefault="00D458D5" w:rsidP="002B0155">
      <w:pPr>
        <w:pStyle w:val="NoSpacing"/>
        <w:numPr>
          <w:ilvl w:val="1"/>
          <w:numId w:val="10"/>
        </w:numPr>
        <w:tabs>
          <w:tab w:val="left" w:pos="810"/>
        </w:tabs>
        <w:rPr>
          <w:color w:val="000000"/>
        </w:rPr>
      </w:pPr>
      <w:r>
        <w:rPr>
          <w:color w:val="000000"/>
        </w:rPr>
        <w:t>Reported on the pilot for a Non-Attendance/Non-Participation process with members of AAC and GAAC. This will be fully implemented in fall 2014 for every course and every instructor.  Research on progression of students has led to an understanding of issues around the graduation application.  There will be a new form and process implemented fall 2014.</w:t>
      </w:r>
    </w:p>
    <w:p w:rsidR="002B0155" w:rsidRDefault="002B0155" w:rsidP="002B0155">
      <w:pPr>
        <w:pStyle w:val="NoSpacing"/>
        <w:tabs>
          <w:tab w:val="left" w:pos="810"/>
        </w:tabs>
        <w:ind w:left="1440"/>
        <w:rPr>
          <w:color w:val="000000"/>
        </w:rPr>
      </w:pPr>
    </w:p>
    <w:p w:rsidR="002B0155" w:rsidRDefault="00D458D5" w:rsidP="002B0155">
      <w:pPr>
        <w:pStyle w:val="NoSpacing"/>
        <w:numPr>
          <w:ilvl w:val="0"/>
          <w:numId w:val="10"/>
        </w:numPr>
        <w:tabs>
          <w:tab w:val="left" w:pos="810"/>
        </w:tabs>
        <w:rPr>
          <w:color w:val="000000"/>
        </w:rPr>
      </w:pPr>
      <w:r>
        <w:rPr>
          <w:color w:val="000000"/>
        </w:rPr>
        <w:t>CTL Workshop on Technology-- Adrianne Brown</w:t>
      </w:r>
    </w:p>
    <w:p w:rsidR="00D458D5" w:rsidRPr="002B0155" w:rsidRDefault="00D458D5" w:rsidP="002B0155">
      <w:pPr>
        <w:pStyle w:val="NoSpacing"/>
        <w:numPr>
          <w:ilvl w:val="1"/>
          <w:numId w:val="10"/>
        </w:numPr>
        <w:tabs>
          <w:tab w:val="left" w:pos="810"/>
        </w:tabs>
        <w:rPr>
          <w:color w:val="000000"/>
        </w:rPr>
      </w:pPr>
      <w:r w:rsidRPr="002B0155">
        <w:rPr>
          <w:color w:val="000000"/>
        </w:rPr>
        <w:t>Shared information about the workshop day and that they are looking for faculty to present their technology use.</w:t>
      </w:r>
    </w:p>
    <w:p w:rsidR="002B0155" w:rsidRDefault="002B0155" w:rsidP="002B0155">
      <w:pPr>
        <w:pStyle w:val="NoSpacing"/>
        <w:tabs>
          <w:tab w:val="left" w:pos="810"/>
        </w:tabs>
        <w:rPr>
          <w:color w:val="000000"/>
        </w:rPr>
      </w:pPr>
    </w:p>
    <w:p w:rsidR="00D458D5" w:rsidRPr="00D458D5" w:rsidRDefault="00D458D5" w:rsidP="002B0155">
      <w:pPr>
        <w:pStyle w:val="NoSpacing"/>
        <w:tabs>
          <w:tab w:val="left" w:pos="810"/>
        </w:tabs>
        <w:rPr>
          <w:color w:val="000000"/>
        </w:rPr>
      </w:pPr>
      <w:r>
        <w:rPr>
          <w:color w:val="000000"/>
        </w:rPr>
        <w:t>Adjourned at 5:13 pm</w:t>
      </w:r>
    </w:p>
    <w:p w:rsidR="00977964" w:rsidRDefault="00977964" w:rsidP="00271C50">
      <w:pPr>
        <w:pStyle w:val="NoSpacing"/>
      </w:pPr>
    </w:p>
    <w:p w:rsidR="002B0155" w:rsidRDefault="002B0155" w:rsidP="00271C50">
      <w:pPr>
        <w:pStyle w:val="NoSpacing"/>
      </w:pPr>
      <w:r>
        <w:t xml:space="preserve">Respectfully Submitted, </w:t>
      </w:r>
    </w:p>
    <w:p w:rsidR="002B0155" w:rsidRDefault="002B0155" w:rsidP="00271C50">
      <w:pPr>
        <w:pStyle w:val="NoSpacing"/>
      </w:pPr>
      <w:r>
        <w:t>Amy Gort</w:t>
      </w:r>
    </w:p>
    <w:sectPr w:rsidR="002B0155" w:rsidSect="00C67439">
      <w:headerReference w:type="default" r:id="rId7"/>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016" w:rsidRDefault="00466016" w:rsidP="002B0155">
      <w:pPr>
        <w:spacing w:after="0" w:line="240" w:lineRule="auto"/>
      </w:pPr>
      <w:r>
        <w:separator/>
      </w:r>
    </w:p>
  </w:endnote>
  <w:endnote w:type="continuationSeparator" w:id="0">
    <w:p w:rsidR="00466016" w:rsidRDefault="00466016" w:rsidP="002B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016" w:rsidRDefault="00466016" w:rsidP="002B0155">
      <w:pPr>
        <w:spacing w:after="0" w:line="240" w:lineRule="auto"/>
      </w:pPr>
      <w:r>
        <w:separator/>
      </w:r>
    </w:p>
  </w:footnote>
  <w:footnote w:type="continuationSeparator" w:id="0">
    <w:p w:rsidR="00466016" w:rsidRDefault="00466016" w:rsidP="002B0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758155"/>
      <w:docPartObj>
        <w:docPartGallery w:val="Page Numbers (Top of Page)"/>
        <w:docPartUnique/>
      </w:docPartObj>
    </w:sdtPr>
    <w:sdtEndPr>
      <w:rPr>
        <w:noProof/>
      </w:rPr>
    </w:sdtEndPr>
    <w:sdtContent>
      <w:p w:rsidR="002B0155" w:rsidRDefault="002B0155">
        <w:pPr>
          <w:pStyle w:val="Header"/>
          <w:jc w:val="right"/>
        </w:pPr>
        <w:r>
          <w:fldChar w:fldCharType="begin"/>
        </w:r>
        <w:r>
          <w:instrText xml:space="preserve"> PAGE   \* MERGEFORMAT </w:instrText>
        </w:r>
        <w:r>
          <w:fldChar w:fldCharType="separate"/>
        </w:r>
        <w:r w:rsidR="00785337">
          <w:rPr>
            <w:noProof/>
          </w:rPr>
          <w:t>2</w:t>
        </w:r>
        <w:r>
          <w:rPr>
            <w:noProof/>
          </w:rPr>
          <w:fldChar w:fldCharType="end"/>
        </w:r>
      </w:p>
    </w:sdtContent>
  </w:sdt>
  <w:p w:rsidR="002B0155" w:rsidRDefault="002B0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7DBC"/>
    <w:multiLevelType w:val="hybridMultilevel"/>
    <w:tmpl w:val="D9508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BC032A"/>
    <w:multiLevelType w:val="hybridMultilevel"/>
    <w:tmpl w:val="D89A0C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35BCE"/>
    <w:multiLevelType w:val="hybridMultilevel"/>
    <w:tmpl w:val="597AF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E0795"/>
    <w:multiLevelType w:val="hybridMultilevel"/>
    <w:tmpl w:val="8D5444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AE52DD"/>
    <w:multiLevelType w:val="hybridMultilevel"/>
    <w:tmpl w:val="4D2C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DC80128"/>
    <w:multiLevelType w:val="hybridMultilevel"/>
    <w:tmpl w:val="10B44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66424B"/>
    <w:multiLevelType w:val="hybridMultilevel"/>
    <w:tmpl w:val="7F206B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636D69"/>
    <w:multiLevelType w:val="hybridMultilevel"/>
    <w:tmpl w:val="68BEE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F7723AE"/>
    <w:multiLevelType w:val="hybridMultilevel"/>
    <w:tmpl w:val="0E58C92E"/>
    <w:lvl w:ilvl="0" w:tplc="04090019">
      <w:start w:val="1"/>
      <w:numFmt w:val="lowerLetter"/>
      <w:lvlText w:val="%1."/>
      <w:lvlJc w:val="left"/>
      <w:pPr>
        <w:ind w:left="720" w:hanging="360"/>
      </w:pPr>
    </w:lvl>
    <w:lvl w:ilvl="1" w:tplc="8DE0382A">
      <w:start w:val="1"/>
      <w:numFmt w:val="lowerLetter"/>
      <w:lvlText w:val="%2."/>
      <w:lvlJc w:val="left"/>
      <w:pPr>
        <w:ind w:left="1440" w:hanging="360"/>
      </w:pPr>
      <w:rPr>
        <w:rFonts w:ascii="Calibri" w:eastAsia="Calibri" w:hAnsi="Calibri"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B71BC9"/>
    <w:multiLevelType w:val="hybridMultilevel"/>
    <w:tmpl w:val="184A5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DB54A2"/>
    <w:multiLevelType w:val="hybridMultilevel"/>
    <w:tmpl w:val="D7B60900"/>
    <w:lvl w:ilvl="0" w:tplc="04090019">
      <w:start w:val="1"/>
      <w:numFmt w:val="lowerLetter"/>
      <w:lvlText w:val="%1."/>
      <w:lvlJc w:val="left"/>
      <w:pPr>
        <w:ind w:left="720" w:hanging="360"/>
      </w:pPr>
    </w:lvl>
    <w:lvl w:ilvl="1" w:tplc="8DE0382A">
      <w:start w:val="1"/>
      <w:numFmt w:val="lowerLetter"/>
      <w:lvlText w:val="%2."/>
      <w:lvlJc w:val="left"/>
      <w:pPr>
        <w:ind w:left="1440" w:hanging="360"/>
      </w:pPr>
      <w:rPr>
        <w:rFonts w:ascii="Calibri" w:eastAsia="Calibri" w:hAnsi="Calibri"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2"/>
  </w:num>
  <w:num w:numId="5">
    <w:abstractNumId w:val="10"/>
  </w:num>
  <w:num w:numId="6">
    <w:abstractNumId w:val="6"/>
  </w:num>
  <w:num w:numId="7">
    <w:abstractNumId w:val="4"/>
  </w:num>
  <w:num w:numId="8">
    <w:abstractNumId w:val="3"/>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964"/>
    <w:rsid w:val="00082999"/>
    <w:rsid w:val="000C1680"/>
    <w:rsid w:val="000D4D72"/>
    <w:rsid w:val="0016641D"/>
    <w:rsid w:val="00271C50"/>
    <w:rsid w:val="002B0155"/>
    <w:rsid w:val="003C7B45"/>
    <w:rsid w:val="003E03D1"/>
    <w:rsid w:val="00426EEC"/>
    <w:rsid w:val="00466016"/>
    <w:rsid w:val="00474729"/>
    <w:rsid w:val="0061678F"/>
    <w:rsid w:val="00652B99"/>
    <w:rsid w:val="00707794"/>
    <w:rsid w:val="00785337"/>
    <w:rsid w:val="007B26EC"/>
    <w:rsid w:val="007B60CD"/>
    <w:rsid w:val="008D395C"/>
    <w:rsid w:val="00935858"/>
    <w:rsid w:val="00956565"/>
    <w:rsid w:val="00977964"/>
    <w:rsid w:val="00A52259"/>
    <w:rsid w:val="00AB0673"/>
    <w:rsid w:val="00B56ED0"/>
    <w:rsid w:val="00BA54C5"/>
    <w:rsid w:val="00BB4859"/>
    <w:rsid w:val="00BF60A5"/>
    <w:rsid w:val="00BF7083"/>
    <w:rsid w:val="00C67439"/>
    <w:rsid w:val="00C80736"/>
    <w:rsid w:val="00CD12EE"/>
    <w:rsid w:val="00D120E3"/>
    <w:rsid w:val="00D458D5"/>
    <w:rsid w:val="00D477E0"/>
    <w:rsid w:val="00EE2D5E"/>
    <w:rsid w:val="00EF18B5"/>
    <w:rsid w:val="00FD6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3064B-6683-4CCC-BD93-037AAFD6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796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80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736"/>
    <w:rPr>
      <w:rFonts w:ascii="Segoe UI" w:hAnsi="Segoe UI" w:cs="Segoe UI"/>
      <w:sz w:val="18"/>
      <w:szCs w:val="18"/>
    </w:rPr>
  </w:style>
  <w:style w:type="paragraph" w:styleId="ListParagraph">
    <w:name w:val="List Paragraph"/>
    <w:basedOn w:val="Normal"/>
    <w:uiPriority w:val="34"/>
    <w:qFormat/>
    <w:rsid w:val="007B26EC"/>
    <w:pPr>
      <w:ind w:left="720"/>
      <w:contextualSpacing/>
    </w:pPr>
  </w:style>
  <w:style w:type="paragraph" w:styleId="Header">
    <w:name w:val="header"/>
    <w:basedOn w:val="Normal"/>
    <w:link w:val="HeaderChar"/>
    <w:uiPriority w:val="99"/>
    <w:unhideWhenUsed/>
    <w:rsid w:val="002B0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55"/>
  </w:style>
  <w:style w:type="paragraph" w:styleId="Footer">
    <w:name w:val="footer"/>
    <w:basedOn w:val="Normal"/>
    <w:link w:val="FooterChar"/>
    <w:uiPriority w:val="99"/>
    <w:unhideWhenUsed/>
    <w:rsid w:val="002B0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1793</Words>
  <Characters>10221</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11991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 Green</dc:creator>
  <cp:lastModifiedBy>Judith A Green</cp:lastModifiedBy>
  <cp:revision>2</cp:revision>
  <cp:lastPrinted>2014-04-11T16:58:00Z</cp:lastPrinted>
  <dcterms:created xsi:type="dcterms:W3CDTF">2014-04-21T14:38:00Z</dcterms:created>
  <dcterms:modified xsi:type="dcterms:W3CDTF">2014-04-21T14:38:00Z</dcterms:modified>
</cp:coreProperties>
</file>