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0B0" w:rsidRPr="00EE30B0" w:rsidRDefault="00EE30B0" w:rsidP="00EE30B0">
      <w:pPr>
        <w:spacing w:after="0" w:line="240" w:lineRule="auto"/>
        <w:jc w:val="center"/>
        <w:rPr>
          <w:rFonts w:ascii="Georgia" w:eastAsia="Times New Roman" w:hAnsi="Georgia" w:cs="Times New Roman"/>
          <w:b/>
          <w:bCs/>
          <w:color w:val="333333"/>
          <w:sz w:val="28"/>
          <w:szCs w:val="28"/>
        </w:rPr>
      </w:pPr>
      <w:bookmarkStart w:id="0" w:name="_GoBack"/>
      <w:bookmarkEnd w:id="0"/>
      <w:r>
        <w:rPr>
          <w:rFonts w:ascii="Georgia" w:eastAsia="Times New Roman" w:hAnsi="Georgia" w:cs="Times New Roman"/>
          <w:b/>
          <w:bCs/>
          <w:noProof/>
          <w:color w:val="333333"/>
          <w:sz w:val="28"/>
          <w:szCs w:val="28"/>
        </w:rPr>
        <w:drawing>
          <wp:inline distT="0" distB="0" distL="0" distR="0">
            <wp:extent cx="1885950" cy="1381125"/>
            <wp:effectExtent l="0" t="0" r="0" b="9525"/>
            <wp:docPr id="1" name="Picture 1" descr="C:\Users\haasj\Desktop\CGE-stacked-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asj\Desktop\CGE-stacked-colo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5950" cy="1381125"/>
                    </a:xfrm>
                    <a:prstGeom prst="rect">
                      <a:avLst/>
                    </a:prstGeom>
                    <a:noFill/>
                    <a:ln>
                      <a:noFill/>
                    </a:ln>
                  </pic:spPr>
                </pic:pic>
              </a:graphicData>
            </a:graphic>
          </wp:inline>
        </w:drawing>
      </w:r>
    </w:p>
    <w:p w:rsidR="00EE30B0" w:rsidRDefault="00EE30B0" w:rsidP="00EE30B0">
      <w:pPr>
        <w:spacing w:after="0" w:line="240" w:lineRule="auto"/>
        <w:rPr>
          <w:rFonts w:ascii="Georgia" w:eastAsia="Times New Roman" w:hAnsi="Georgia" w:cs="Times New Roman"/>
          <w:b/>
          <w:color w:val="333333"/>
          <w:sz w:val="28"/>
          <w:szCs w:val="28"/>
          <w:u w:val="single"/>
        </w:rPr>
      </w:pPr>
    </w:p>
    <w:p w:rsidR="00EE30B0" w:rsidRPr="00EE30B0" w:rsidRDefault="00EE30B0" w:rsidP="00EE30B0">
      <w:pPr>
        <w:spacing w:after="0" w:line="240" w:lineRule="auto"/>
        <w:rPr>
          <w:rFonts w:ascii="Georgia" w:eastAsia="Times New Roman" w:hAnsi="Georgia" w:cs="Times New Roman"/>
          <w:b/>
          <w:color w:val="333333"/>
          <w:sz w:val="28"/>
          <w:szCs w:val="28"/>
          <w:u w:val="single"/>
        </w:rPr>
      </w:pPr>
      <w:r w:rsidRPr="00EE30B0">
        <w:rPr>
          <w:rFonts w:ascii="Georgia" w:eastAsia="Times New Roman" w:hAnsi="Georgia" w:cs="Times New Roman"/>
          <w:b/>
          <w:color w:val="333333"/>
          <w:sz w:val="28"/>
          <w:szCs w:val="28"/>
          <w:u w:val="single"/>
        </w:rPr>
        <w:t>CGE Program Themes</w:t>
      </w:r>
    </w:p>
    <w:p w:rsidR="00EE30B0" w:rsidRDefault="00EE30B0" w:rsidP="00EE30B0">
      <w:pPr>
        <w:spacing w:after="0" w:line="240" w:lineRule="auto"/>
        <w:rPr>
          <w:rFonts w:ascii="Georgia" w:eastAsia="Times New Roman" w:hAnsi="Georgia" w:cs="Times New Roman"/>
          <w:color w:val="333333"/>
          <w:sz w:val="20"/>
          <w:szCs w:val="20"/>
        </w:rPr>
      </w:pPr>
      <w:r>
        <w:rPr>
          <w:rFonts w:ascii="Georgia" w:eastAsia="Times New Roman" w:hAnsi="Georgia" w:cs="Times New Roman"/>
          <w:color w:val="333333"/>
          <w:sz w:val="20"/>
          <w:szCs w:val="20"/>
        </w:rPr>
        <w:br/>
      </w:r>
      <w:r w:rsidRPr="00EE30B0">
        <w:rPr>
          <w:rFonts w:ascii="Georgia" w:eastAsia="Times New Roman" w:hAnsi="Georgia" w:cs="Times New Roman"/>
          <w:color w:val="333333"/>
          <w:sz w:val="20"/>
          <w:szCs w:val="20"/>
        </w:rPr>
        <w:t>CGE has worked with groups interested in themes ranging from indigenous rights to business and economics.  Programming has also covered education, healthcare, immigration, fair trade issues, sustainable development, environmental activism, policy and more.  </w:t>
      </w:r>
    </w:p>
    <w:p w:rsidR="00EE30B0" w:rsidRPr="00EE30B0" w:rsidRDefault="00EE30B0" w:rsidP="00EE30B0">
      <w:pPr>
        <w:spacing w:after="0" w:line="240" w:lineRule="auto"/>
        <w:rPr>
          <w:rFonts w:ascii="Georgia" w:eastAsia="Times New Roman" w:hAnsi="Georgia" w:cs="Times New Roman"/>
          <w:b/>
          <w:color w:val="333333"/>
          <w:sz w:val="24"/>
          <w:szCs w:val="24"/>
          <w:u w:val="single"/>
        </w:rPr>
      </w:pPr>
    </w:p>
    <w:p w:rsidR="00EE30B0" w:rsidRPr="00EE30B0" w:rsidRDefault="00EE30B0" w:rsidP="00EE30B0">
      <w:pPr>
        <w:spacing w:after="0" w:line="240" w:lineRule="auto"/>
        <w:rPr>
          <w:rFonts w:ascii="Georgia" w:eastAsia="Times New Roman" w:hAnsi="Georgia" w:cs="Times New Roman"/>
          <w:b/>
          <w:color w:val="333333"/>
          <w:sz w:val="28"/>
          <w:szCs w:val="28"/>
          <w:u w:val="single"/>
        </w:rPr>
      </w:pPr>
      <w:r w:rsidRPr="00EE30B0">
        <w:rPr>
          <w:rFonts w:ascii="Georgia" w:eastAsia="Times New Roman" w:hAnsi="Georgia" w:cs="Times New Roman"/>
          <w:b/>
          <w:color w:val="333333"/>
          <w:sz w:val="28"/>
          <w:szCs w:val="28"/>
          <w:u w:val="single"/>
        </w:rPr>
        <w:t>Past Program Examples</w:t>
      </w:r>
    </w:p>
    <w:p w:rsidR="00EE30B0" w:rsidRDefault="00EE30B0" w:rsidP="00EE30B0">
      <w:pPr>
        <w:spacing w:after="0" w:line="240" w:lineRule="auto"/>
        <w:rPr>
          <w:rFonts w:ascii="Georgia" w:eastAsia="Times New Roman" w:hAnsi="Georgia" w:cs="Times New Roman"/>
          <w:color w:val="333333"/>
          <w:sz w:val="20"/>
          <w:szCs w:val="20"/>
        </w:rPr>
      </w:pPr>
    </w:p>
    <w:p w:rsidR="00EE30B0" w:rsidRPr="00EE30B0" w:rsidRDefault="00EE30B0" w:rsidP="00EE30B0">
      <w:pPr>
        <w:spacing w:after="0" w:line="240" w:lineRule="auto"/>
        <w:rPr>
          <w:rFonts w:ascii="Georgia" w:eastAsia="Times New Roman" w:hAnsi="Georgia" w:cs="Times New Roman"/>
          <w:b/>
          <w:i/>
          <w:color w:val="333333"/>
          <w:sz w:val="20"/>
          <w:szCs w:val="20"/>
        </w:rPr>
      </w:pPr>
      <w:r w:rsidRPr="00EE30B0">
        <w:rPr>
          <w:rFonts w:ascii="Georgia" w:eastAsia="Times New Roman" w:hAnsi="Georgia" w:cs="Times New Roman"/>
          <w:b/>
          <w:i/>
          <w:color w:val="333333"/>
          <w:sz w:val="20"/>
          <w:szCs w:val="20"/>
        </w:rPr>
        <w:t>Environmental Justice and Sustainable Development</w:t>
      </w:r>
    </w:p>
    <w:p w:rsidR="00EE30B0" w:rsidRDefault="00EE30B0" w:rsidP="00EE30B0">
      <w:pPr>
        <w:spacing w:after="0" w:line="240" w:lineRule="auto"/>
        <w:rPr>
          <w:rFonts w:ascii="Georgia" w:eastAsia="Times New Roman" w:hAnsi="Georgia" w:cs="Times New Roman"/>
          <w:color w:val="333333"/>
          <w:sz w:val="20"/>
          <w:szCs w:val="20"/>
        </w:rPr>
      </w:pPr>
      <w:r>
        <w:rPr>
          <w:rFonts w:ascii="Georgia" w:eastAsia="Times New Roman" w:hAnsi="Georgia" w:cs="Times New Roman"/>
          <w:color w:val="333333"/>
          <w:sz w:val="20"/>
          <w:szCs w:val="20"/>
        </w:rPr>
        <w:t>Guatemala</w:t>
      </w:r>
    </w:p>
    <w:p w:rsidR="00EE30B0" w:rsidRDefault="00EE30B0" w:rsidP="00EE30B0">
      <w:pPr>
        <w:spacing w:after="0" w:line="240" w:lineRule="auto"/>
        <w:rPr>
          <w:rFonts w:ascii="Georgia" w:eastAsia="Times New Roman" w:hAnsi="Georgia" w:cs="Times New Roman"/>
          <w:color w:val="333333"/>
          <w:sz w:val="20"/>
          <w:szCs w:val="20"/>
        </w:rPr>
      </w:pPr>
      <w:r>
        <w:rPr>
          <w:rFonts w:ascii="Georgia" w:eastAsia="Times New Roman" w:hAnsi="Georgia" w:cs="Times New Roman"/>
          <w:color w:val="333333"/>
          <w:sz w:val="20"/>
          <w:szCs w:val="20"/>
        </w:rPr>
        <w:t>Sponsored by the University of Montana</w:t>
      </w:r>
    </w:p>
    <w:p w:rsidR="00EE30B0" w:rsidRDefault="00EE30B0" w:rsidP="00EE30B0">
      <w:pPr>
        <w:spacing w:after="0" w:line="240" w:lineRule="auto"/>
        <w:rPr>
          <w:rFonts w:ascii="Georgia" w:eastAsia="Times New Roman" w:hAnsi="Georgia" w:cs="Times New Roman"/>
          <w:color w:val="333333"/>
          <w:sz w:val="20"/>
          <w:szCs w:val="20"/>
        </w:rPr>
      </w:pPr>
    </w:p>
    <w:p w:rsidR="00EE30B0" w:rsidRDefault="00EE30B0" w:rsidP="00EE30B0">
      <w:pPr>
        <w:spacing w:after="0" w:line="240" w:lineRule="auto"/>
        <w:rPr>
          <w:rFonts w:ascii="Georgia" w:eastAsia="Times New Roman" w:hAnsi="Georgia" w:cs="Times New Roman"/>
          <w:color w:val="333333"/>
          <w:sz w:val="20"/>
          <w:szCs w:val="20"/>
        </w:rPr>
      </w:pPr>
      <w:r w:rsidRPr="00EE30B0">
        <w:rPr>
          <w:rFonts w:ascii="Georgia" w:eastAsia="Times New Roman" w:hAnsi="Georgia" w:cs="Times New Roman"/>
          <w:color w:val="333333"/>
          <w:sz w:val="20"/>
          <w:szCs w:val="20"/>
        </w:rPr>
        <w:t>This semi</w:t>
      </w:r>
      <w:r>
        <w:rPr>
          <w:rFonts w:ascii="Georgia" w:eastAsia="Times New Roman" w:hAnsi="Georgia" w:cs="Times New Roman"/>
          <w:color w:val="333333"/>
          <w:sz w:val="20"/>
          <w:szCs w:val="20"/>
        </w:rPr>
        <w:t>nar explored the intersection o</w:t>
      </w:r>
      <w:r w:rsidRPr="00EE30B0">
        <w:rPr>
          <w:rFonts w:ascii="Georgia" w:eastAsia="Times New Roman" w:hAnsi="Georgia" w:cs="Times New Roman"/>
          <w:color w:val="333333"/>
          <w:sz w:val="20"/>
          <w:szCs w:val="20"/>
        </w:rPr>
        <w:t>f</w:t>
      </w:r>
      <w:r>
        <w:rPr>
          <w:rFonts w:ascii="Georgia" w:eastAsia="Times New Roman" w:hAnsi="Georgia" w:cs="Times New Roman"/>
          <w:color w:val="333333"/>
          <w:sz w:val="20"/>
          <w:szCs w:val="20"/>
        </w:rPr>
        <w:t xml:space="preserve"> </w:t>
      </w:r>
      <w:r w:rsidRPr="00EE30B0">
        <w:rPr>
          <w:rFonts w:ascii="Georgia" w:eastAsia="Times New Roman" w:hAnsi="Georgia" w:cs="Times New Roman"/>
          <w:color w:val="333333"/>
          <w:sz w:val="20"/>
          <w:szCs w:val="20"/>
        </w:rPr>
        <w:t>land conservation, water po</w:t>
      </w:r>
      <w:r>
        <w:rPr>
          <w:rFonts w:ascii="Georgia" w:eastAsia="Times New Roman" w:hAnsi="Georgia" w:cs="Times New Roman"/>
          <w:color w:val="333333"/>
          <w:sz w:val="20"/>
          <w:szCs w:val="20"/>
        </w:rPr>
        <w:t xml:space="preserve">llution, indigenous rights, and </w:t>
      </w:r>
      <w:r w:rsidRPr="00EE30B0">
        <w:rPr>
          <w:rFonts w:ascii="Georgia" w:eastAsia="Times New Roman" w:hAnsi="Georgia" w:cs="Times New Roman"/>
          <w:color w:val="333333"/>
          <w:sz w:val="20"/>
          <w:szCs w:val="20"/>
        </w:rPr>
        <w:t>trade policies.  Participants met with peasant farmers, discussed business with women's cooperatives, and visited environmental preserves.</w:t>
      </w:r>
    </w:p>
    <w:p w:rsidR="00EE30B0" w:rsidRDefault="00EE30B0" w:rsidP="00EE30B0">
      <w:pPr>
        <w:spacing w:after="0" w:line="240" w:lineRule="auto"/>
        <w:rPr>
          <w:rFonts w:ascii="Georgia" w:eastAsia="Times New Roman" w:hAnsi="Georgia" w:cs="Times New Roman"/>
          <w:color w:val="333333"/>
          <w:sz w:val="20"/>
          <w:szCs w:val="20"/>
        </w:rPr>
      </w:pPr>
    </w:p>
    <w:p w:rsidR="00EE30B0" w:rsidRPr="00EE30B0" w:rsidRDefault="00EE30B0" w:rsidP="00EE30B0">
      <w:pPr>
        <w:spacing w:after="0" w:line="240" w:lineRule="auto"/>
        <w:rPr>
          <w:rFonts w:ascii="Georgia" w:eastAsia="Times New Roman" w:hAnsi="Georgia" w:cs="Times New Roman"/>
          <w:b/>
          <w:i/>
          <w:color w:val="333333"/>
          <w:sz w:val="20"/>
          <w:szCs w:val="20"/>
        </w:rPr>
      </w:pPr>
      <w:r w:rsidRPr="00EE30B0">
        <w:rPr>
          <w:rFonts w:ascii="Georgia" w:eastAsia="Times New Roman" w:hAnsi="Georgia" w:cs="Times New Roman"/>
          <w:b/>
          <w:i/>
          <w:color w:val="333333"/>
          <w:sz w:val="20"/>
          <w:szCs w:val="20"/>
        </w:rPr>
        <w:t>Christianity in Mexico: Legacy of the Cross and Sword</w:t>
      </w:r>
    </w:p>
    <w:p w:rsidR="00EE30B0" w:rsidRDefault="00EE30B0" w:rsidP="00EE30B0">
      <w:pPr>
        <w:spacing w:after="0" w:line="240" w:lineRule="auto"/>
        <w:rPr>
          <w:rFonts w:ascii="Georgia" w:eastAsia="Times New Roman" w:hAnsi="Georgia" w:cs="Times New Roman"/>
          <w:color w:val="333333"/>
          <w:sz w:val="20"/>
          <w:szCs w:val="20"/>
        </w:rPr>
      </w:pPr>
      <w:r>
        <w:rPr>
          <w:rFonts w:ascii="Georgia" w:eastAsia="Times New Roman" w:hAnsi="Georgia" w:cs="Times New Roman"/>
          <w:color w:val="333333"/>
          <w:sz w:val="20"/>
          <w:szCs w:val="20"/>
        </w:rPr>
        <w:t>Mexico</w:t>
      </w:r>
    </w:p>
    <w:p w:rsidR="00EE30B0" w:rsidRDefault="00EE30B0" w:rsidP="00EE30B0">
      <w:pPr>
        <w:spacing w:after="0" w:line="240" w:lineRule="auto"/>
        <w:rPr>
          <w:rFonts w:ascii="Georgia" w:eastAsia="Times New Roman" w:hAnsi="Georgia" w:cs="Times New Roman"/>
          <w:color w:val="333333"/>
          <w:sz w:val="20"/>
          <w:szCs w:val="20"/>
        </w:rPr>
      </w:pPr>
      <w:r>
        <w:rPr>
          <w:rFonts w:ascii="Georgia" w:eastAsia="Times New Roman" w:hAnsi="Georgia" w:cs="Times New Roman"/>
          <w:color w:val="333333"/>
          <w:sz w:val="20"/>
          <w:szCs w:val="20"/>
        </w:rPr>
        <w:t>Sponsored by Little River United Church of Christ</w:t>
      </w:r>
    </w:p>
    <w:p w:rsidR="00EE30B0" w:rsidRDefault="00EE30B0" w:rsidP="00EE30B0">
      <w:pPr>
        <w:spacing w:after="0" w:line="240" w:lineRule="auto"/>
        <w:rPr>
          <w:rFonts w:ascii="Georgia" w:eastAsia="Times New Roman" w:hAnsi="Georgia" w:cs="Times New Roman"/>
          <w:color w:val="333333"/>
          <w:sz w:val="20"/>
          <w:szCs w:val="20"/>
        </w:rPr>
      </w:pPr>
    </w:p>
    <w:p w:rsidR="00EE30B0" w:rsidRDefault="00EE30B0" w:rsidP="00EE30B0">
      <w:pPr>
        <w:spacing w:after="0" w:line="240" w:lineRule="auto"/>
        <w:rPr>
          <w:rFonts w:ascii="Georgia" w:eastAsia="Times New Roman" w:hAnsi="Georgia" w:cs="Times New Roman"/>
          <w:color w:val="333333"/>
          <w:sz w:val="20"/>
          <w:szCs w:val="20"/>
        </w:rPr>
      </w:pPr>
      <w:r>
        <w:rPr>
          <w:rFonts w:ascii="Georgia" w:eastAsia="Times New Roman" w:hAnsi="Georgia" w:cs="Times New Roman"/>
          <w:color w:val="333333"/>
          <w:sz w:val="20"/>
          <w:szCs w:val="20"/>
        </w:rPr>
        <w:t>This seminar focused on the history of Christianity and its relationship with social, religious, political, and economic events.  Participants visited ancient temples, pyramids, churches, and shrines.  They also spoke with religious leaders, politicians, and everyday people.</w:t>
      </w:r>
    </w:p>
    <w:p w:rsidR="00EE30B0" w:rsidRPr="00EE30B0" w:rsidRDefault="00EE30B0" w:rsidP="00EE30B0">
      <w:pPr>
        <w:spacing w:after="0" w:line="240" w:lineRule="auto"/>
        <w:rPr>
          <w:rFonts w:ascii="Georgia" w:eastAsia="Times New Roman" w:hAnsi="Georgia" w:cs="Times New Roman"/>
          <w:b/>
          <w:color w:val="333333"/>
          <w:sz w:val="20"/>
          <w:szCs w:val="20"/>
        </w:rPr>
      </w:pPr>
    </w:p>
    <w:p w:rsidR="00EE30B0" w:rsidRPr="00EE30B0" w:rsidRDefault="00EE30B0" w:rsidP="00EE30B0">
      <w:pPr>
        <w:spacing w:after="0" w:line="240" w:lineRule="auto"/>
        <w:rPr>
          <w:rFonts w:ascii="Georgia" w:eastAsia="Times New Roman" w:hAnsi="Georgia" w:cs="Times New Roman"/>
          <w:b/>
          <w:i/>
          <w:color w:val="333333"/>
          <w:sz w:val="20"/>
          <w:szCs w:val="20"/>
        </w:rPr>
      </w:pPr>
      <w:r w:rsidRPr="00EE30B0">
        <w:rPr>
          <w:rFonts w:ascii="Georgia" w:eastAsia="Times New Roman" w:hAnsi="Georgia" w:cs="Times New Roman"/>
          <w:b/>
          <w:i/>
          <w:color w:val="333333"/>
          <w:sz w:val="20"/>
          <w:szCs w:val="20"/>
        </w:rPr>
        <w:t>Global Search for Justice: Voices of Dissent</w:t>
      </w:r>
    </w:p>
    <w:p w:rsidR="00EE30B0" w:rsidRDefault="00EE30B0" w:rsidP="00EE30B0">
      <w:pPr>
        <w:spacing w:after="0" w:line="240" w:lineRule="auto"/>
        <w:rPr>
          <w:rFonts w:ascii="Georgia" w:eastAsia="Times New Roman" w:hAnsi="Georgia" w:cs="Times New Roman"/>
          <w:color w:val="333333"/>
          <w:sz w:val="20"/>
          <w:szCs w:val="20"/>
        </w:rPr>
      </w:pPr>
      <w:r>
        <w:rPr>
          <w:rFonts w:ascii="Georgia" w:eastAsia="Times New Roman" w:hAnsi="Georgia" w:cs="Times New Roman"/>
          <w:color w:val="333333"/>
          <w:sz w:val="20"/>
          <w:szCs w:val="20"/>
        </w:rPr>
        <w:t>South Africa</w:t>
      </w:r>
    </w:p>
    <w:p w:rsidR="00EE30B0" w:rsidRDefault="00EE30B0" w:rsidP="00EE30B0">
      <w:pPr>
        <w:spacing w:after="0" w:line="240" w:lineRule="auto"/>
        <w:rPr>
          <w:rFonts w:ascii="Georgia" w:eastAsia="Times New Roman" w:hAnsi="Georgia" w:cs="Times New Roman"/>
          <w:color w:val="333333"/>
          <w:sz w:val="20"/>
          <w:szCs w:val="20"/>
        </w:rPr>
      </w:pPr>
      <w:r>
        <w:rPr>
          <w:rFonts w:ascii="Georgia" w:eastAsia="Times New Roman" w:hAnsi="Georgia" w:cs="Times New Roman"/>
          <w:color w:val="333333"/>
          <w:sz w:val="20"/>
          <w:szCs w:val="20"/>
        </w:rPr>
        <w:t>Sponsored by St. Catherine University</w:t>
      </w:r>
    </w:p>
    <w:p w:rsidR="00EE30B0" w:rsidRDefault="00EE30B0" w:rsidP="00EE30B0">
      <w:pPr>
        <w:spacing w:after="0" w:line="240" w:lineRule="auto"/>
        <w:rPr>
          <w:rFonts w:ascii="Georgia" w:eastAsia="Times New Roman" w:hAnsi="Georgia" w:cs="Times New Roman"/>
          <w:color w:val="333333"/>
          <w:sz w:val="20"/>
          <w:szCs w:val="20"/>
        </w:rPr>
      </w:pPr>
    </w:p>
    <w:p w:rsidR="00EE30B0" w:rsidRDefault="00EE30B0" w:rsidP="00EE30B0">
      <w:pPr>
        <w:spacing w:after="0" w:line="240" w:lineRule="auto"/>
        <w:rPr>
          <w:rFonts w:ascii="Georgia" w:eastAsia="Times New Roman" w:hAnsi="Georgia" w:cs="Times New Roman"/>
          <w:color w:val="333333"/>
          <w:sz w:val="20"/>
          <w:szCs w:val="20"/>
        </w:rPr>
      </w:pPr>
      <w:r>
        <w:rPr>
          <w:rFonts w:ascii="Georgia" w:eastAsia="Times New Roman" w:hAnsi="Georgia" w:cs="Times New Roman"/>
          <w:color w:val="333333"/>
          <w:sz w:val="20"/>
          <w:szCs w:val="20"/>
        </w:rPr>
        <w:t>This seminar looked at historical and current social justice issues, with a n emphasis on gender, glass, and racial disparities.  Participants focused on how these disparities affected housing, healthcare, education, and employment.  Participants met with representatives from the Treatment Action Campaign, South Durban Community Environmental Alliance, and the Black Sash.</w:t>
      </w:r>
    </w:p>
    <w:p w:rsidR="00EE30B0" w:rsidRDefault="00EE30B0" w:rsidP="00EE30B0">
      <w:pPr>
        <w:spacing w:after="0" w:line="240" w:lineRule="auto"/>
        <w:rPr>
          <w:rFonts w:ascii="Georgia" w:eastAsia="Times New Roman" w:hAnsi="Georgia" w:cs="Times New Roman"/>
          <w:color w:val="333333"/>
          <w:sz w:val="20"/>
          <w:szCs w:val="20"/>
        </w:rPr>
      </w:pPr>
    </w:p>
    <w:p w:rsidR="00EE30B0" w:rsidRPr="00EE30B0" w:rsidRDefault="00EE30B0" w:rsidP="00EE30B0">
      <w:pPr>
        <w:spacing w:after="0" w:line="240" w:lineRule="auto"/>
        <w:rPr>
          <w:rFonts w:ascii="Georgia" w:eastAsia="Times New Roman" w:hAnsi="Georgia" w:cs="Times New Roman"/>
          <w:b/>
          <w:i/>
          <w:color w:val="333333"/>
          <w:sz w:val="20"/>
          <w:szCs w:val="20"/>
        </w:rPr>
      </w:pPr>
      <w:r w:rsidRPr="00EE30B0">
        <w:rPr>
          <w:rFonts w:ascii="Georgia" w:eastAsia="Times New Roman" w:hAnsi="Georgia" w:cs="Times New Roman"/>
          <w:b/>
          <w:i/>
          <w:color w:val="333333"/>
          <w:sz w:val="20"/>
          <w:szCs w:val="20"/>
        </w:rPr>
        <w:t>Global Adventures in Liberal Arts (full-term program)</w:t>
      </w:r>
    </w:p>
    <w:p w:rsidR="00EE30B0" w:rsidRDefault="00EE30B0" w:rsidP="00EE30B0">
      <w:pPr>
        <w:spacing w:after="0" w:line="240" w:lineRule="auto"/>
        <w:rPr>
          <w:rFonts w:ascii="Georgia" w:eastAsia="Times New Roman" w:hAnsi="Georgia" w:cs="Times New Roman"/>
          <w:color w:val="333333"/>
          <w:sz w:val="20"/>
          <w:szCs w:val="20"/>
        </w:rPr>
      </w:pPr>
      <w:r>
        <w:rPr>
          <w:rFonts w:ascii="Georgia" w:eastAsia="Times New Roman" w:hAnsi="Georgia" w:cs="Times New Roman"/>
          <w:color w:val="333333"/>
          <w:sz w:val="20"/>
          <w:szCs w:val="20"/>
        </w:rPr>
        <w:t>Guatemala, Nicaragua, and Mexico</w:t>
      </w:r>
    </w:p>
    <w:p w:rsidR="00EE30B0" w:rsidRDefault="00EE30B0" w:rsidP="00EE30B0">
      <w:pPr>
        <w:spacing w:after="0" w:line="240" w:lineRule="auto"/>
        <w:rPr>
          <w:rFonts w:ascii="Georgia" w:eastAsia="Times New Roman" w:hAnsi="Georgia" w:cs="Times New Roman"/>
          <w:color w:val="333333"/>
          <w:sz w:val="20"/>
          <w:szCs w:val="20"/>
        </w:rPr>
      </w:pPr>
      <w:r>
        <w:rPr>
          <w:rFonts w:ascii="Georgia" w:eastAsia="Times New Roman" w:hAnsi="Georgia" w:cs="Times New Roman"/>
          <w:color w:val="333333"/>
          <w:sz w:val="20"/>
          <w:szCs w:val="20"/>
        </w:rPr>
        <w:t>Sponsored by Butler University</w:t>
      </w:r>
    </w:p>
    <w:p w:rsidR="00EE30B0" w:rsidRPr="00EE30B0" w:rsidRDefault="00EE30B0" w:rsidP="00EE30B0">
      <w:pPr>
        <w:spacing w:before="100" w:beforeAutospacing="1" w:after="100" w:afterAutospacing="1" w:line="285" w:lineRule="atLeast"/>
        <w:rPr>
          <w:rFonts w:ascii="Georgia" w:eastAsia="Times New Roman" w:hAnsi="Georgia" w:cs="Times New Roman"/>
          <w:color w:val="333333"/>
          <w:sz w:val="20"/>
          <w:szCs w:val="20"/>
        </w:rPr>
      </w:pPr>
      <w:r>
        <w:rPr>
          <w:rFonts w:ascii="Georgia" w:eastAsia="Times New Roman" w:hAnsi="Georgia" w:cs="Times New Roman"/>
          <w:color w:val="333333"/>
          <w:sz w:val="20"/>
          <w:szCs w:val="20"/>
        </w:rPr>
        <w:t xml:space="preserve">CGE provided infrastructure, program management, access to local experts, and other support, while Butler faculty will accompany the group to teach the courses.  </w:t>
      </w:r>
      <w:r w:rsidRPr="00EE30B0">
        <w:rPr>
          <w:rFonts w:ascii="Georgia" w:eastAsia="Times New Roman" w:hAnsi="Georgia" w:cs="Times New Roman"/>
          <w:color w:val="333333"/>
          <w:sz w:val="20"/>
          <w:szCs w:val="20"/>
        </w:rPr>
        <w:t xml:space="preserve">  </w:t>
      </w:r>
    </w:p>
    <w:p w:rsidR="00A42CF4" w:rsidRPr="00EE30B0" w:rsidRDefault="00EE30B0" w:rsidP="00D20D0D">
      <w:pPr>
        <w:pStyle w:val="NoSpacing"/>
        <w:rPr>
          <w:rFonts w:ascii="Georgia" w:hAnsi="Georgia"/>
          <w:b/>
          <w:sz w:val="28"/>
          <w:szCs w:val="28"/>
          <w:u w:val="single"/>
        </w:rPr>
      </w:pPr>
      <w:r w:rsidRPr="00EE30B0">
        <w:rPr>
          <w:rFonts w:ascii="Georgia" w:hAnsi="Georgia"/>
          <w:b/>
          <w:sz w:val="28"/>
          <w:szCs w:val="28"/>
          <w:u w:val="single"/>
        </w:rPr>
        <w:t>Partial List of Past Sponsoring Organizations/Institutions:</w:t>
      </w:r>
    </w:p>
    <w:p w:rsidR="00EE30B0" w:rsidRPr="00EE30B0" w:rsidRDefault="00EE30B0" w:rsidP="00D20D0D">
      <w:pPr>
        <w:pStyle w:val="NoSpacing"/>
        <w:rPr>
          <w:rFonts w:ascii="Georgia" w:hAnsi="Georgia"/>
        </w:rPr>
      </w:pPr>
      <w:proofErr w:type="spellStart"/>
      <w:r w:rsidRPr="00EE30B0">
        <w:rPr>
          <w:rFonts w:ascii="Georgia" w:hAnsi="Georgia"/>
        </w:rPr>
        <w:t>Augustana</w:t>
      </w:r>
      <w:proofErr w:type="spellEnd"/>
      <w:r w:rsidRPr="00EE30B0">
        <w:rPr>
          <w:rFonts w:ascii="Georgia" w:hAnsi="Georgia"/>
        </w:rPr>
        <w:t xml:space="preserve"> College</w:t>
      </w:r>
    </w:p>
    <w:p w:rsidR="00EE30B0" w:rsidRPr="00EE30B0" w:rsidRDefault="00EE30B0" w:rsidP="00D20D0D">
      <w:pPr>
        <w:pStyle w:val="NoSpacing"/>
        <w:rPr>
          <w:rFonts w:ascii="Georgia" w:hAnsi="Georgia"/>
        </w:rPr>
      </w:pPr>
      <w:r w:rsidRPr="00EE30B0">
        <w:rPr>
          <w:rFonts w:ascii="Georgia" w:hAnsi="Georgia"/>
        </w:rPr>
        <w:t>Boston College</w:t>
      </w:r>
    </w:p>
    <w:p w:rsidR="00EE30B0" w:rsidRPr="00EE30B0" w:rsidRDefault="00EE30B0" w:rsidP="00D20D0D">
      <w:pPr>
        <w:pStyle w:val="NoSpacing"/>
        <w:rPr>
          <w:rFonts w:ascii="Georgia" w:hAnsi="Georgia"/>
        </w:rPr>
      </w:pPr>
      <w:r w:rsidRPr="00EE30B0">
        <w:rPr>
          <w:rFonts w:ascii="Georgia" w:hAnsi="Georgia"/>
        </w:rPr>
        <w:lastRenderedPageBreak/>
        <w:t>Carleton College</w:t>
      </w:r>
    </w:p>
    <w:p w:rsidR="00EE30B0" w:rsidRPr="00EE30B0" w:rsidRDefault="00EE30B0" w:rsidP="00D20D0D">
      <w:pPr>
        <w:pStyle w:val="NoSpacing"/>
        <w:rPr>
          <w:rFonts w:ascii="Georgia" w:hAnsi="Georgia"/>
        </w:rPr>
      </w:pPr>
      <w:r w:rsidRPr="00EE30B0">
        <w:rPr>
          <w:rFonts w:ascii="Georgia" w:hAnsi="Georgia"/>
        </w:rPr>
        <w:t>Furman University</w:t>
      </w:r>
    </w:p>
    <w:p w:rsidR="00EE30B0" w:rsidRPr="00EE30B0" w:rsidRDefault="00EE30B0" w:rsidP="00D20D0D">
      <w:pPr>
        <w:pStyle w:val="NoSpacing"/>
        <w:rPr>
          <w:rFonts w:ascii="Georgia" w:hAnsi="Georgia"/>
        </w:rPr>
      </w:pPr>
      <w:r w:rsidRPr="00EE30B0">
        <w:rPr>
          <w:rFonts w:ascii="Georgia" w:hAnsi="Georgia"/>
        </w:rPr>
        <w:t>George Washington University</w:t>
      </w:r>
    </w:p>
    <w:p w:rsidR="00EE30B0" w:rsidRPr="00EE30B0" w:rsidRDefault="00EE30B0" w:rsidP="00D20D0D">
      <w:pPr>
        <w:pStyle w:val="NoSpacing"/>
        <w:rPr>
          <w:rFonts w:ascii="Georgia" w:hAnsi="Georgia"/>
        </w:rPr>
      </w:pPr>
      <w:r w:rsidRPr="00EE30B0">
        <w:rPr>
          <w:rFonts w:ascii="Georgia" w:hAnsi="Georgia"/>
        </w:rPr>
        <w:t>Hiram College</w:t>
      </w:r>
    </w:p>
    <w:p w:rsidR="00EE30B0" w:rsidRPr="00EE30B0" w:rsidRDefault="00EE30B0" w:rsidP="00D20D0D">
      <w:pPr>
        <w:pStyle w:val="NoSpacing"/>
        <w:rPr>
          <w:rFonts w:ascii="Georgia" w:hAnsi="Georgia"/>
        </w:rPr>
      </w:pPr>
      <w:r w:rsidRPr="00EE30B0">
        <w:rPr>
          <w:rFonts w:ascii="Georgia" w:hAnsi="Georgia"/>
        </w:rPr>
        <w:t>John Carroll University</w:t>
      </w:r>
    </w:p>
    <w:p w:rsidR="00EE30B0" w:rsidRPr="00EE30B0" w:rsidRDefault="00EE30B0" w:rsidP="00D20D0D">
      <w:pPr>
        <w:pStyle w:val="NoSpacing"/>
        <w:rPr>
          <w:rFonts w:ascii="Georgia" w:hAnsi="Georgia"/>
        </w:rPr>
      </w:pPr>
      <w:proofErr w:type="spellStart"/>
      <w:r w:rsidRPr="00EE30B0">
        <w:rPr>
          <w:rFonts w:ascii="Georgia" w:hAnsi="Georgia"/>
        </w:rPr>
        <w:t>Ignatian</w:t>
      </w:r>
      <w:proofErr w:type="spellEnd"/>
      <w:r w:rsidRPr="00EE30B0">
        <w:rPr>
          <w:rFonts w:ascii="Georgia" w:hAnsi="Georgia"/>
        </w:rPr>
        <w:t xml:space="preserve"> Colleagues Program</w:t>
      </w:r>
    </w:p>
    <w:p w:rsidR="00EE30B0" w:rsidRPr="00EE30B0" w:rsidRDefault="00EE30B0" w:rsidP="00D20D0D">
      <w:pPr>
        <w:pStyle w:val="NoSpacing"/>
        <w:rPr>
          <w:rFonts w:ascii="Georgia" w:hAnsi="Georgia"/>
        </w:rPr>
      </w:pPr>
      <w:r w:rsidRPr="00EE30B0">
        <w:rPr>
          <w:rFonts w:ascii="Georgia" w:hAnsi="Georgia"/>
        </w:rPr>
        <w:t>Kirkland Community College</w:t>
      </w:r>
    </w:p>
    <w:p w:rsidR="00EE30B0" w:rsidRPr="00EE30B0" w:rsidRDefault="00EE30B0" w:rsidP="00D20D0D">
      <w:pPr>
        <w:pStyle w:val="NoSpacing"/>
        <w:rPr>
          <w:rFonts w:ascii="Georgia" w:hAnsi="Georgia"/>
        </w:rPr>
      </w:pPr>
      <w:r w:rsidRPr="00EE30B0">
        <w:rPr>
          <w:rFonts w:ascii="Georgia" w:hAnsi="Georgia"/>
        </w:rPr>
        <w:t>Northwest Area Foundation</w:t>
      </w:r>
    </w:p>
    <w:p w:rsidR="00EE30B0" w:rsidRPr="00EE30B0" w:rsidRDefault="00EE30B0" w:rsidP="00D20D0D">
      <w:pPr>
        <w:pStyle w:val="NoSpacing"/>
        <w:rPr>
          <w:rFonts w:ascii="Georgia" w:hAnsi="Georgia"/>
        </w:rPr>
      </w:pPr>
      <w:r w:rsidRPr="00EE30B0">
        <w:rPr>
          <w:rFonts w:ascii="Georgia" w:hAnsi="Georgia"/>
        </w:rPr>
        <w:t>Peace Scholars Forum</w:t>
      </w:r>
    </w:p>
    <w:p w:rsidR="00EE30B0" w:rsidRPr="00EE30B0" w:rsidRDefault="00EE30B0" w:rsidP="00D20D0D">
      <w:pPr>
        <w:pStyle w:val="NoSpacing"/>
        <w:rPr>
          <w:rFonts w:ascii="Georgia" w:hAnsi="Georgia"/>
        </w:rPr>
      </w:pPr>
      <w:r w:rsidRPr="00EE30B0">
        <w:rPr>
          <w:rFonts w:ascii="Georgia" w:hAnsi="Georgia"/>
        </w:rPr>
        <w:t>Prince of Peace Lutheran Church</w:t>
      </w:r>
    </w:p>
    <w:p w:rsidR="00EE30B0" w:rsidRPr="00EE30B0" w:rsidRDefault="00EE30B0" w:rsidP="00D20D0D">
      <w:pPr>
        <w:pStyle w:val="NoSpacing"/>
        <w:rPr>
          <w:rFonts w:ascii="Georgia" w:hAnsi="Georgia"/>
        </w:rPr>
      </w:pPr>
      <w:r w:rsidRPr="00EE30B0">
        <w:rPr>
          <w:rFonts w:ascii="Georgia" w:hAnsi="Georgia"/>
        </w:rPr>
        <w:t>Seattle University</w:t>
      </w:r>
    </w:p>
    <w:p w:rsidR="00EE30B0" w:rsidRPr="00EE30B0" w:rsidRDefault="00EE30B0" w:rsidP="00D20D0D">
      <w:pPr>
        <w:pStyle w:val="NoSpacing"/>
        <w:rPr>
          <w:rFonts w:ascii="Georgia" w:hAnsi="Georgia"/>
        </w:rPr>
      </w:pPr>
      <w:r w:rsidRPr="00EE30B0">
        <w:rPr>
          <w:rFonts w:ascii="Georgia" w:hAnsi="Georgia"/>
        </w:rPr>
        <w:t>Social Impact Adventures</w:t>
      </w:r>
    </w:p>
    <w:p w:rsidR="00EE30B0" w:rsidRPr="00EE30B0" w:rsidRDefault="00EE30B0" w:rsidP="00D20D0D">
      <w:pPr>
        <w:pStyle w:val="NoSpacing"/>
        <w:rPr>
          <w:rFonts w:ascii="Georgia" w:hAnsi="Georgia"/>
        </w:rPr>
      </w:pPr>
      <w:r w:rsidRPr="00EE30B0">
        <w:rPr>
          <w:rFonts w:ascii="Georgia" w:hAnsi="Georgia"/>
        </w:rPr>
        <w:t>The Ohio State University</w:t>
      </w:r>
    </w:p>
    <w:p w:rsidR="00EE30B0" w:rsidRPr="00EE30B0" w:rsidRDefault="00EE30B0" w:rsidP="00D20D0D">
      <w:pPr>
        <w:pStyle w:val="NoSpacing"/>
        <w:rPr>
          <w:rFonts w:ascii="Georgia" w:hAnsi="Georgia"/>
        </w:rPr>
      </w:pPr>
      <w:r w:rsidRPr="00EE30B0">
        <w:rPr>
          <w:rFonts w:ascii="Georgia" w:hAnsi="Georgia"/>
        </w:rPr>
        <w:t>University of Minnesota Extension Educators</w:t>
      </w:r>
    </w:p>
    <w:p w:rsidR="00EE30B0" w:rsidRPr="00EE30B0" w:rsidRDefault="00EE30B0" w:rsidP="00D20D0D">
      <w:pPr>
        <w:pStyle w:val="NoSpacing"/>
        <w:rPr>
          <w:rFonts w:ascii="Georgia" w:hAnsi="Georgia"/>
        </w:rPr>
      </w:pPr>
      <w:r w:rsidRPr="00EE30B0">
        <w:rPr>
          <w:rFonts w:ascii="Georgia" w:hAnsi="Georgia"/>
        </w:rPr>
        <w:t>University of New Mexico</w:t>
      </w:r>
    </w:p>
    <w:p w:rsidR="00EE30B0" w:rsidRDefault="00EE30B0" w:rsidP="00D20D0D">
      <w:pPr>
        <w:pStyle w:val="NoSpacing"/>
      </w:pPr>
    </w:p>
    <w:sectPr w:rsidR="00EE30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0B0"/>
    <w:rsid w:val="007273C0"/>
    <w:rsid w:val="00A42CF4"/>
    <w:rsid w:val="00D20D0D"/>
    <w:rsid w:val="00EB1A7A"/>
    <w:rsid w:val="00EE3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E30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0D0D"/>
    <w:pPr>
      <w:spacing w:after="0" w:line="240" w:lineRule="auto"/>
    </w:pPr>
  </w:style>
  <w:style w:type="character" w:customStyle="1" w:styleId="Heading2Char">
    <w:name w:val="Heading 2 Char"/>
    <w:basedOn w:val="DefaultParagraphFont"/>
    <w:link w:val="Heading2"/>
    <w:uiPriority w:val="9"/>
    <w:rsid w:val="00EE30B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E30B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E30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0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E30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0D0D"/>
    <w:pPr>
      <w:spacing w:after="0" w:line="240" w:lineRule="auto"/>
    </w:pPr>
  </w:style>
  <w:style w:type="character" w:customStyle="1" w:styleId="Heading2Char">
    <w:name w:val="Heading 2 Char"/>
    <w:basedOn w:val="DefaultParagraphFont"/>
    <w:link w:val="Heading2"/>
    <w:uiPriority w:val="9"/>
    <w:rsid w:val="00EE30B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E30B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E30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0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65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Augsburg College</Company>
  <LinksUpToDate>false</LinksUpToDate>
  <CharactersWithSpaces>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2013-11-01T16:48:00Z</dcterms:created>
  <dcterms:modified xsi:type="dcterms:W3CDTF">2013-11-01T16:48:00Z</dcterms:modified>
</cp:coreProperties>
</file>